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6D31F">
      <w:pPr>
        <w:spacing w:line="460" w:lineRule="exact"/>
        <w:rPr>
          <w:rFonts w:eastAsia="楷体_GB2312"/>
          <w:color w:val="000000" w:themeColor="text1"/>
          <w:sz w:val="24"/>
          <w:szCs w:val="20"/>
          <w14:textFill>
            <w14:solidFill>
              <w14:schemeClr w14:val="tx1"/>
            </w14:solidFill>
          </w14:textFill>
        </w:rPr>
      </w:pPr>
      <w:r>
        <w:rPr>
          <w:rFonts w:eastAsia="楷体_GB2312"/>
          <w:color w:val="000000" w:themeColor="text1"/>
          <w:sz w:val="32"/>
          <w:szCs w:val="20"/>
          <w14:textFill>
            <w14:solidFill>
              <w14:schemeClr w14:val="tx1"/>
            </w14:solidFill>
          </w14:textFill>
        </w:rPr>
        <w:t xml:space="preserve">             </w:t>
      </w:r>
      <w:r>
        <w:rPr>
          <w:rFonts w:eastAsia="楷体_GB2312"/>
          <w:color w:val="000000" w:themeColor="text1"/>
          <w:sz w:val="24"/>
          <w:szCs w:val="20"/>
          <w14:textFill>
            <w14:solidFill>
              <w14:schemeClr w14:val="tx1"/>
            </w14:solidFill>
          </w14:textFill>
        </w:rPr>
        <w:t xml:space="preserve"> </w:t>
      </w:r>
    </w:p>
    <w:p w14:paraId="42FAA013">
      <w:pPr>
        <w:spacing w:line="460" w:lineRule="exact"/>
        <w:ind w:firstLine="470"/>
        <w:rPr>
          <w:rFonts w:eastAsia="楷体_GB2312"/>
          <w:color w:val="000000" w:themeColor="text1"/>
          <w:sz w:val="24"/>
          <w:szCs w:val="20"/>
          <w14:textFill>
            <w14:solidFill>
              <w14:schemeClr w14:val="tx1"/>
            </w14:solidFill>
          </w14:textFill>
        </w:rPr>
      </w:pPr>
    </w:p>
    <w:p w14:paraId="446CBD6D">
      <w:pPr>
        <w:spacing w:line="460" w:lineRule="exact"/>
        <w:ind w:firstLine="470"/>
        <w:rPr>
          <w:rFonts w:eastAsia="楷体_GB2312"/>
          <w:color w:val="000000" w:themeColor="text1"/>
          <w:sz w:val="24"/>
          <w:szCs w:val="20"/>
          <w14:textFill>
            <w14:solidFill>
              <w14:schemeClr w14:val="tx1"/>
            </w14:solidFill>
          </w14:textFill>
        </w:rPr>
      </w:pPr>
    </w:p>
    <w:p w14:paraId="3EF91801">
      <w:pPr>
        <w:spacing w:line="460" w:lineRule="exact"/>
        <w:ind w:firstLine="470"/>
        <w:rPr>
          <w:rFonts w:eastAsia="楷体_GB2312"/>
          <w:color w:val="000000" w:themeColor="text1"/>
          <w:sz w:val="24"/>
          <w:szCs w:val="20"/>
          <w14:textFill>
            <w14:solidFill>
              <w14:schemeClr w14:val="tx1"/>
            </w14:solidFill>
          </w14:textFill>
        </w:rPr>
      </w:pPr>
    </w:p>
    <w:p w14:paraId="33600AD4">
      <w:pPr>
        <w:spacing w:line="460" w:lineRule="exact"/>
        <w:rPr>
          <w:rFonts w:eastAsia="楷体_GB2312"/>
          <w:color w:val="000000" w:themeColor="text1"/>
          <w:sz w:val="24"/>
          <w:szCs w:val="20"/>
          <w14:textFill>
            <w14:solidFill>
              <w14:schemeClr w14:val="tx1"/>
            </w14:solidFill>
          </w14:textFill>
        </w:rPr>
      </w:pPr>
    </w:p>
    <w:p w14:paraId="45C471B8">
      <w:pPr>
        <w:spacing w:line="460" w:lineRule="exact"/>
        <w:ind w:firstLine="470"/>
        <w:rPr>
          <w:rFonts w:eastAsia="楷体_GB2312"/>
          <w:color w:val="000000" w:themeColor="text1"/>
          <w:sz w:val="24"/>
          <w:szCs w:val="20"/>
          <w14:textFill>
            <w14:solidFill>
              <w14:schemeClr w14:val="tx1"/>
            </w14:solidFill>
          </w14:textFill>
        </w:rPr>
      </w:pPr>
    </w:p>
    <w:p w14:paraId="3AF0007C">
      <w:pPr>
        <w:spacing w:line="460" w:lineRule="exact"/>
        <w:ind w:firstLine="470"/>
        <w:rPr>
          <w:rFonts w:eastAsia="楷体_GB2312"/>
          <w:color w:val="000000" w:themeColor="text1"/>
          <w:sz w:val="24"/>
          <w:szCs w:val="20"/>
          <w14:textFill>
            <w14:solidFill>
              <w14:schemeClr w14:val="tx1"/>
            </w14:solidFill>
          </w14:textFill>
        </w:rPr>
      </w:pPr>
      <w:r>
        <w:rPr>
          <w:rFonts w:hint="eastAsia" w:eastAsia="楷体_GB2312"/>
          <w:color w:val="000000" w:themeColor="text1"/>
          <w:sz w:val="24"/>
          <w:szCs w:val="20"/>
          <w14:textFill>
            <w14:solidFill>
              <w14:schemeClr w14:val="tx1"/>
            </w14:solidFill>
          </w14:textFill>
        </w:rPr>
        <w:t xml:space="preserve">  </w:t>
      </w:r>
    </w:p>
    <w:p w14:paraId="78611935">
      <w:pPr>
        <w:spacing w:line="600" w:lineRule="exact"/>
        <w:jc w:val="center"/>
        <w:rPr>
          <w:rFonts w:ascii="仿宋_GB2312" w:hAnsi="宋体" w:eastAsia="仿宋_GB2312" w:cs="Times New Roman"/>
          <w:color w:val="000000" w:themeColor="text1"/>
          <w:sz w:val="32"/>
          <w:szCs w:val="32"/>
          <w14:textFill>
            <w14:solidFill>
              <w14:schemeClr w14:val="tx1"/>
            </w14:solidFill>
          </w14:textFill>
        </w:rPr>
      </w:pPr>
      <w:r>
        <w:rPr>
          <w:rFonts w:hint="eastAsia" w:ascii="仿宋_GB2312" w:hAnsi="宋体" w:eastAsia="仿宋_GB2312" w:cs="Times New Roman"/>
          <w:color w:val="000000" w:themeColor="text1"/>
          <w:sz w:val="32"/>
          <w:szCs w:val="32"/>
          <w14:textFill>
            <w14:solidFill>
              <w14:schemeClr w14:val="tx1"/>
            </w14:solidFill>
          </w14:textFill>
        </w:rPr>
        <w:t>闽师培</w:t>
      </w:r>
      <w:r>
        <w:rPr>
          <w:rFonts w:hint="eastAsia" w:ascii="宋体" w:hAnsi="宋体" w:eastAsia="宋体" w:cs="Times New Roman"/>
          <w:color w:val="000000" w:themeColor="text1"/>
          <w:sz w:val="32"/>
          <w:szCs w:val="32"/>
          <w14:textFill>
            <w14:solidFill>
              <w14:schemeClr w14:val="tx1"/>
            </w14:solidFill>
          </w14:textFill>
        </w:rPr>
        <w:t>〔</w:t>
      </w:r>
      <w:r>
        <w:rPr>
          <w:rFonts w:hint="eastAsia" w:ascii="仿宋_GB2312" w:hAnsi="宋体" w:eastAsia="仿宋_GB2312" w:cs="Times New Roman"/>
          <w:color w:val="000000" w:themeColor="text1"/>
          <w:sz w:val="32"/>
          <w:szCs w:val="32"/>
          <w14:textFill>
            <w14:solidFill>
              <w14:schemeClr w14:val="tx1"/>
            </w14:solidFill>
          </w14:textFill>
        </w:rPr>
        <w:t>202</w:t>
      </w:r>
      <w:r>
        <w:rPr>
          <w:rFonts w:ascii="仿宋_GB2312" w:hAnsi="宋体" w:eastAsia="仿宋_GB2312" w:cs="Times New Roman"/>
          <w:color w:val="000000" w:themeColor="text1"/>
          <w:sz w:val="32"/>
          <w:szCs w:val="32"/>
          <w14:textFill>
            <w14:solidFill>
              <w14:schemeClr w14:val="tx1"/>
            </w14:solidFill>
          </w14:textFill>
        </w:rPr>
        <w:t>6</w:t>
      </w:r>
      <w:r>
        <w:rPr>
          <w:rFonts w:hint="eastAsia" w:ascii="宋体" w:hAnsi="宋体" w:eastAsia="宋体" w:cs="Times New Roman"/>
          <w:color w:val="000000" w:themeColor="text1"/>
          <w:sz w:val="32"/>
          <w:szCs w:val="32"/>
          <w14:textFill>
            <w14:solidFill>
              <w14:schemeClr w14:val="tx1"/>
            </w14:solidFill>
          </w14:textFill>
        </w:rPr>
        <w:t>〕</w:t>
      </w:r>
      <w:r>
        <w:rPr>
          <w:rFonts w:hint="eastAsia" w:ascii="宋体" w:hAnsi="宋体" w:eastAsia="宋体" w:cs="Times New Roman"/>
          <w:color w:val="000000" w:themeColor="text1"/>
          <w:sz w:val="32"/>
          <w:szCs w:val="32"/>
          <w:lang w:val="en-US" w:eastAsia="zh-CN"/>
          <w14:textFill>
            <w14:solidFill>
              <w14:schemeClr w14:val="tx1"/>
            </w14:solidFill>
          </w14:textFill>
        </w:rPr>
        <w:t>5</w:t>
      </w:r>
      <w:r>
        <w:rPr>
          <w:rFonts w:hint="eastAsia" w:ascii="仿宋_GB2312" w:hAnsi="宋体" w:eastAsia="仿宋_GB2312" w:cs="Times New Roman"/>
          <w:color w:val="000000" w:themeColor="text1"/>
          <w:sz w:val="32"/>
          <w:szCs w:val="32"/>
          <w14:textFill>
            <w14:solidFill>
              <w14:schemeClr w14:val="tx1"/>
            </w14:solidFill>
          </w14:textFill>
        </w:rPr>
        <w:t>号</w:t>
      </w:r>
    </w:p>
    <w:p w14:paraId="0B57DF8F">
      <w:pPr>
        <w:spacing w:line="460" w:lineRule="exact"/>
        <w:jc w:val="center"/>
        <w:rPr>
          <w:rFonts w:ascii="仿宋_GB2312" w:hAnsi="仿宋" w:eastAsia="仿宋_GB2312" w:cs="Times New Roman"/>
          <w:color w:val="000000" w:themeColor="text1"/>
          <w:sz w:val="32"/>
          <w:szCs w:val="32"/>
          <w14:textFill>
            <w14:solidFill>
              <w14:schemeClr w14:val="tx1"/>
            </w14:solidFill>
          </w14:textFill>
        </w:rPr>
      </w:pPr>
    </w:p>
    <w:p w14:paraId="48539C72">
      <w:pPr>
        <w:spacing w:line="460" w:lineRule="exact"/>
        <w:jc w:val="center"/>
        <w:rPr>
          <w:rFonts w:ascii="仿宋_GB2312" w:hAnsi="仿宋" w:eastAsia="仿宋_GB2312" w:cs="Times New Roman"/>
          <w:color w:val="000000" w:themeColor="text1"/>
          <w:sz w:val="32"/>
          <w:szCs w:val="32"/>
          <w14:textFill>
            <w14:solidFill>
              <w14:schemeClr w14:val="tx1"/>
            </w14:solidFill>
          </w14:textFill>
        </w:rPr>
      </w:pPr>
    </w:p>
    <w:p w14:paraId="294AECB9">
      <w:pPr>
        <w:spacing w:line="460" w:lineRule="exact"/>
        <w:jc w:val="center"/>
        <w:rPr>
          <w:rFonts w:ascii="仿宋_GB2312" w:hAnsi="仿宋" w:eastAsia="仿宋_GB2312" w:cs="Times New Roman"/>
          <w:color w:val="000000" w:themeColor="text1"/>
          <w:sz w:val="32"/>
          <w:szCs w:val="32"/>
          <w14:textFill>
            <w14:solidFill>
              <w14:schemeClr w14:val="tx1"/>
            </w14:solidFill>
          </w14:textFill>
        </w:rPr>
      </w:pPr>
    </w:p>
    <w:p w14:paraId="58CD4364">
      <w:pPr>
        <w:spacing w:before="143" w:line="266" w:lineRule="auto"/>
        <w:ind w:left="1406" w:right="549" w:hanging="970"/>
        <w:jc w:val="center"/>
        <w:rPr>
          <w:rFonts w:hint="eastAsia" w:ascii="宋体" w:hAnsi="宋体" w:eastAsia="宋体" w:cs="宋体"/>
          <w:b/>
          <w:bCs/>
          <w:spacing w:val="-2"/>
          <w:sz w:val="44"/>
          <w:szCs w:val="44"/>
          <w:lang w:val="en-US" w:eastAsia="zh-CN"/>
        </w:rPr>
      </w:pPr>
      <w:r>
        <w:rPr>
          <w:rFonts w:ascii="宋体" w:hAnsi="宋体" w:eastAsia="宋体" w:cs="宋体"/>
          <w:b/>
          <w:bCs/>
          <w:spacing w:val="-2"/>
          <w:sz w:val="44"/>
          <w:szCs w:val="44"/>
        </w:rPr>
        <w:t>关于举办</w:t>
      </w:r>
      <w:r>
        <w:rPr>
          <w:rFonts w:hint="eastAsia" w:ascii="宋体" w:hAnsi="宋体" w:eastAsia="宋体" w:cs="宋体"/>
          <w:b/>
          <w:bCs/>
          <w:spacing w:val="-2"/>
          <w:sz w:val="44"/>
          <w:szCs w:val="44"/>
          <w:lang w:val="en-US" w:eastAsia="zh-CN"/>
        </w:rPr>
        <w:t>2026年福建高校青年教师</w:t>
      </w:r>
    </w:p>
    <w:p w14:paraId="4E3256B9">
      <w:pPr>
        <w:spacing w:before="143" w:line="266" w:lineRule="auto"/>
        <w:ind w:left="1406" w:right="549" w:hanging="970"/>
        <w:jc w:val="center"/>
        <w:rPr>
          <w:rFonts w:ascii="宋体" w:hAnsi="宋体" w:eastAsia="宋体" w:cs="宋体"/>
          <w:sz w:val="44"/>
          <w:szCs w:val="44"/>
        </w:rPr>
      </w:pPr>
      <w:r>
        <w:rPr>
          <w:rFonts w:hint="eastAsia" w:ascii="宋体" w:hAnsi="宋体" w:eastAsia="宋体" w:cs="宋体"/>
          <w:b/>
          <w:bCs/>
          <w:spacing w:val="-2"/>
          <w:sz w:val="44"/>
          <w:szCs w:val="44"/>
          <w:lang w:val="en-US" w:eastAsia="zh-CN"/>
        </w:rPr>
        <w:t>短期访学班</w:t>
      </w:r>
      <w:r>
        <w:rPr>
          <w:rFonts w:ascii="宋体" w:hAnsi="宋体" w:eastAsia="宋体" w:cs="宋体"/>
          <w:b/>
          <w:bCs/>
          <w:spacing w:val="-12"/>
          <w:sz w:val="44"/>
          <w:szCs w:val="44"/>
        </w:rPr>
        <w:t>的通知</w:t>
      </w:r>
    </w:p>
    <w:p w14:paraId="6582CCDE">
      <w:pPr>
        <w:spacing w:line="296" w:lineRule="auto"/>
        <w:rPr>
          <w:rFonts w:ascii="Arial"/>
          <w:sz w:val="21"/>
        </w:rPr>
      </w:pPr>
    </w:p>
    <w:p w14:paraId="5B9909E0">
      <w:pPr>
        <w:spacing w:line="296" w:lineRule="auto"/>
        <w:rPr>
          <w:rFonts w:ascii="Arial"/>
          <w:sz w:val="21"/>
        </w:rPr>
      </w:pPr>
    </w:p>
    <w:p w14:paraId="324926E4">
      <w:pPr>
        <w:pStyle w:val="2"/>
        <w:keepNext w:val="0"/>
        <w:keepLines w:val="0"/>
        <w:pageBreakBefore w:val="0"/>
        <w:widowControl/>
        <w:kinsoku w:val="0"/>
        <w:wordWrap/>
        <w:overflowPunct/>
        <w:topLinePunct w:val="0"/>
        <w:autoSpaceDE w:val="0"/>
        <w:autoSpaceDN w:val="0"/>
        <w:bidi w:val="0"/>
        <w:adjustRightInd w:val="0"/>
        <w:snapToGrid w:val="0"/>
        <w:spacing w:before="178" w:line="560" w:lineRule="exact"/>
        <w:ind w:right="207"/>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各高等学校：</w:t>
      </w:r>
    </w:p>
    <w:p w14:paraId="46C87D4C">
      <w:pPr>
        <w:pStyle w:val="2"/>
        <w:keepNext w:val="0"/>
        <w:keepLines w:val="0"/>
        <w:pageBreakBefore w:val="0"/>
        <w:widowControl/>
        <w:kinsoku w:val="0"/>
        <w:wordWrap/>
        <w:overflowPunct/>
        <w:topLinePunct w:val="0"/>
        <w:autoSpaceDE w:val="0"/>
        <w:autoSpaceDN w:val="0"/>
        <w:bidi w:val="0"/>
        <w:adjustRightInd w:val="0"/>
        <w:snapToGrid w:val="0"/>
        <w:spacing w:before="165" w:line="560" w:lineRule="exact"/>
        <w:ind w:right="194"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en-US"/>
        </w:rPr>
        <w:t>为贯彻落实中共福建省委教育工作委员会等十部门印发的《福建省弘扬教育家精神</w:t>
      </w:r>
      <w:r>
        <w:rPr>
          <w:rFonts w:hint="eastAsia" w:ascii="仿宋_GB2312" w:hAnsi="仿宋_GB2312" w:eastAsia="仿宋_GB2312" w:cs="仿宋_GB2312"/>
          <w:spacing w:val="7"/>
          <w:sz w:val="32"/>
          <w:szCs w:val="32"/>
          <w:lang w:val="en-US" w:eastAsia="zh-CN"/>
        </w:rPr>
        <w:t xml:space="preserve"> </w:t>
      </w:r>
      <w:r>
        <w:rPr>
          <w:rFonts w:hint="eastAsia" w:ascii="仿宋_GB2312" w:hAnsi="仿宋_GB2312" w:eastAsia="仿宋_GB2312" w:cs="仿宋_GB2312"/>
          <w:spacing w:val="7"/>
          <w:sz w:val="32"/>
          <w:szCs w:val="32"/>
          <w:lang w:val="en-US" w:eastAsia="en-US"/>
        </w:rPr>
        <w:t>加强新时代高素质专业化教师</w:t>
      </w:r>
      <w:bookmarkStart w:id="0" w:name="_GoBack"/>
      <w:bookmarkEnd w:id="0"/>
      <w:r>
        <w:rPr>
          <w:rFonts w:hint="eastAsia" w:ascii="仿宋_GB2312" w:hAnsi="仿宋_GB2312" w:eastAsia="仿宋_GB2312" w:cs="仿宋_GB2312"/>
          <w:spacing w:val="7"/>
          <w:sz w:val="32"/>
          <w:szCs w:val="32"/>
          <w:lang w:val="en-US" w:eastAsia="en-US"/>
        </w:rPr>
        <w:t>队伍建设若干措施》,</w:t>
      </w:r>
      <w:r>
        <w:rPr>
          <w:rFonts w:hint="eastAsia" w:ascii="仿宋_GB2312" w:hAnsi="仿宋_GB2312" w:eastAsia="仿宋_GB2312" w:cs="仿宋_GB2312"/>
          <w:spacing w:val="7"/>
          <w:sz w:val="32"/>
          <w:szCs w:val="32"/>
          <w:lang w:val="en-US" w:eastAsia="zh-CN"/>
        </w:rPr>
        <w:t>进一步加强我省普通高等学校中青年高层次人才队伍建设，按照</w:t>
      </w:r>
      <w:r>
        <w:rPr>
          <w:rFonts w:hint="eastAsia" w:ascii="仿宋_GB2312" w:hAnsi="仿宋_GB2312" w:eastAsia="仿宋_GB2312" w:cs="仿宋_GB2312"/>
          <w:spacing w:val="7"/>
          <w:sz w:val="32"/>
          <w:szCs w:val="32"/>
        </w:rPr>
        <w:t>《福建省教育厅办公室关于做好202</w:t>
      </w:r>
      <w:r>
        <w:rPr>
          <w:rFonts w:hint="eastAsia" w:ascii="仿宋_GB2312" w:hAnsi="仿宋_GB2312" w:eastAsia="仿宋_GB2312" w:cs="仿宋_GB2312"/>
          <w:spacing w:val="7"/>
          <w:sz w:val="32"/>
          <w:szCs w:val="32"/>
          <w:lang w:val="en-US" w:eastAsia="zh-CN"/>
        </w:rPr>
        <w:t>6</w:t>
      </w:r>
      <w:r>
        <w:rPr>
          <w:rFonts w:hint="eastAsia" w:ascii="仿宋_GB2312" w:hAnsi="仿宋_GB2312" w:eastAsia="仿宋_GB2312" w:cs="仿宋_GB2312"/>
          <w:spacing w:val="7"/>
          <w:sz w:val="32"/>
          <w:szCs w:val="32"/>
        </w:rPr>
        <w:t>年省级教师培训工作的通知》(闽教办师〔202</w:t>
      </w:r>
      <w:r>
        <w:rPr>
          <w:rFonts w:hint="eastAsia" w:ascii="仿宋_GB2312" w:hAnsi="仿宋_GB2312" w:eastAsia="仿宋_GB2312" w:cs="仿宋_GB2312"/>
          <w:spacing w:val="7"/>
          <w:sz w:val="32"/>
          <w:szCs w:val="32"/>
          <w:lang w:val="en-US" w:eastAsia="zh-CN"/>
        </w:rPr>
        <w:t>6</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val="en-US" w:eastAsia="zh-CN"/>
        </w:rPr>
        <w:t>8</w:t>
      </w:r>
      <w:r>
        <w:rPr>
          <w:rFonts w:hint="eastAsia" w:ascii="仿宋_GB2312" w:hAnsi="仿宋_GB2312" w:eastAsia="仿宋_GB2312" w:cs="仿宋_GB2312"/>
          <w:spacing w:val="7"/>
          <w:sz w:val="32"/>
          <w:szCs w:val="32"/>
        </w:rPr>
        <w:t>号)</w:t>
      </w:r>
      <w:r>
        <w:rPr>
          <w:rFonts w:hint="eastAsia" w:ascii="仿宋_GB2312" w:hAnsi="仿宋_GB2312" w:eastAsia="仿宋_GB2312" w:cs="仿宋_GB2312"/>
          <w:spacing w:val="7"/>
          <w:sz w:val="32"/>
          <w:szCs w:val="32"/>
          <w:lang w:val="en-US" w:eastAsia="zh-CN"/>
        </w:rPr>
        <w:t>要求，现就委托武汉大学</w:t>
      </w:r>
      <w:r>
        <w:rPr>
          <w:rFonts w:hint="eastAsia" w:ascii="仿宋_GB2312" w:hAnsi="仿宋_GB2312" w:eastAsia="仿宋_GB2312" w:cs="仿宋_GB2312"/>
          <w:spacing w:val="7"/>
          <w:sz w:val="32"/>
          <w:szCs w:val="32"/>
        </w:rPr>
        <w:t>举办“</w:t>
      </w:r>
      <w:r>
        <w:rPr>
          <w:rFonts w:hint="eastAsia" w:ascii="仿宋_GB2312" w:hAnsi="仿宋_GB2312" w:eastAsia="仿宋_GB2312" w:cs="仿宋_GB2312"/>
          <w:spacing w:val="7"/>
          <w:sz w:val="32"/>
          <w:szCs w:val="32"/>
          <w:lang w:eastAsia="zh-CN"/>
        </w:rPr>
        <w:t>2026年福建高校青年教师短期访学班</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将有关事项通知如下：</w:t>
      </w:r>
    </w:p>
    <w:p w14:paraId="75462FEF">
      <w:pPr>
        <w:keepNext w:val="0"/>
        <w:keepLines w:val="0"/>
        <w:pageBreakBefore w:val="0"/>
        <w:widowControl/>
        <w:kinsoku w:val="0"/>
        <w:wordWrap/>
        <w:overflowPunct/>
        <w:topLinePunct w:val="0"/>
        <w:autoSpaceDE w:val="0"/>
        <w:autoSpaceDN w:val="0"/>
        <w:bidi w:val="0"/>
        <w:adjustRightInd w:val="0"/>
        <w:snapToGrid w:val="0"/>
        <w:spacing w:before="28" w:line="560" w:lineRule="exact"/>
        <w:ind w:left="644"/>
        <w:textAlignment w:val="baseline"/>
        <w:outlineLvl w:val="1"/>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一、培训目标</w:t>
      </w:r>
    </w:p>
    <w:p w14:paraId="5F5F7051">
      <w:pPr>
        <w:pStyle w:val="2"/>
        <w:keepNext w:val="0"/>
        <w:keepLines w:val="0"/>
        <w:pageBreakBefore w:val="0"/>
        <w:widowControl/>
        <w:kinsoku w:val="0"/>
        <w:wordWrap/>
        <w:overflowPunct/>
        <w:topLinePunct w:val="0"/>
        <w:autoSpaceDE w:val="0"/>
        <w:autoSpaceDN w:val="0"/>
        <w:bidi w:val="0"/>
        <w:adjustRightInd w:val="0"/>
        <w:snapToGrid w:val="0"/>
        <w:spacing w:before="165" w:line="560" w:lineRule="exact"/>
        <w:ind w:right="194"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认真</w:t>
      </w:r>
      <w:r>
        <w:rPr>
          <w:rFonts w:hint="eastAsia" w:ascii="仿宋_GB2312" w:hAnsi="仿宋_GB2312" w:eastAsia="仿宋_GB2312" w:cs="仿宋_GB2312"/>
          <w:spacing w:val="2"/>
          <w:sz w:val="32"/>
          <w:szCs w:val="32"/>
        </w:rPr>
        <w:t>学习贯彻落实习近平总书记</w:t>
      </w:r>
      <w:r>
        <w:rPr>
          <w:rFonts w:hint="eastAsia" w:ascii="仿宋_GB2312" w:hAnsi="仿宋_GB2312" w:eastAsia="仿宋_GB2312" w:cs="仿宋_GB2312"/>
          <w:spacing w:val="2"/>
          <w:sz w:val="32"/>
          <w:szCs w:val="32"/>
          <w:lang w:val="en-US" w:eastAsia="zh-CN"/>
        </w:rPr>
        <w:t>关于教育的重要论述</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落实福建省委关于教育、科技、人才工作的重要指示批示精神，聚焦新时代高校教师队伍建设要求，通过短期访学研修，帮助青年教师拓宽学术视野、更新教育理念，提升教学科研能力与综合素养，着力培养一批政治素质过硬、业务能力精湛、育人水平高超的高素质专业化青年教师队伍，为福建省高等教育高质量发展提供坚实的人才支撑。</w:t>
      </w:r>
    </w:p>
    <w:p w14:paraId="29B8EA71">
      <w:pPr>
        <w:keepNext w:val="0"/>
        <w:keepLines w:val="0"/>
        <w:pageBreakBefore w:val="0"/>
        <w:widowControl/>
        <w:kinsoku w:val="0"/>
        <w:wordWrap/>
        <w:overflowPunct/>
        <w:topLinePunct w:val="0"/>
        <w:autoSpaceDE w:val="0"/>
        <w:autoSpaceDN w:val="0"/>
        <w:bidi w:val="0"/>
        <w:adjustRightInd w:val="0"/>
        <w:snapToGrid w:val="0"/>
        <w:spacing w:before="28" w:line="560" w:lineRule="exact"/>
        <w:ind w:left="644"/>
        <w:textAlignment w:val="baseline"/>
        <w:outlineLvl w:val="1"/>
        <w:rPr>
          <w:rFonts w:hint="eastAsia" w:ascii="仿宋_GB2312" w:hAnsi="仿宋_GB2312" w:eastAsia="仿宋_GB2312" w:cs="仿宋_GB2312"/>
          <w:b/>
          <w:bCs/>
          <w:spacing w:val="-10"/>
          <w:sz w:val="32"/>
          <w:szCs w:val="32"/>
          <w:lang w:val="en-US" w:eastAsia="zh-CN"/>
        </w:rPr>
      </w:pPr>
      <w:r>
        <w:rPr>
          <w:rFonts w:hint="eastAsia" w:ascii="仿宋_GB2312" w:hAnsi="仿宋_GB2312" w:eastAsia="仿宋_GB2312" w:cs="仿宋_GB2312"/>
          <w:b/>
          <w:bCs/>
          <w:spacing w:val="-10"/>
          <w:sz w:val="32"/>
          <w:szCs w:val="32"/>
          <w:lang w:val="en-US" w:eastAsia="zh-CN"/>
        </w:rPr>
        <w:t>二、</w:t>
      </w:r>
      <w:r>
        <w:rPr>
          <w:rFonts w:hint="eastAsia" w:ascii="仿宋_GB2312" w:hAnsi="仿宋_GB2312" w:eastAsia="仿宋_GB2312" w:cs="仿宋_GB2312"/>
          <w:b/>
          <w:bCs/>
          <w:spacing w:val="-10"/>
          <w:sz w:val="32"/>
          <w:szCs w:val="32"/>
        </w:rPr>
        <w:t>培训对象</w:t>
      </w:r>
    </w:p>
    <w:p w14:paraId="2D806E5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在普通高等学校从事教学科研工作5年以上，须坚持正确政治方向，拥护党的教育方针，有良好的职业道德和强烈的事业心和，身体健康。须经省教育厅选拔确认的省级高等学校青年骨干教师培养对象，或由学校按一定程序选拔确认校级学科带头人培养对象和青年骨干教师，年龄不超过45周岁（截止2026年12月31日）。总计87人。</w:t>
      </w:r>
    </w:p>
    <w:p w14:paraId="54A9D3A3">
      <w:pPr>
        <w:keepNext w:val="0"/>
        <w:keepLines w:val="0"/>
        <w:pageBreakBefore w:val="0"/>
        <w:widowControl/>
        <w:kinsoku w:val="0"/>
        <w:wordWrap/>
        <w:overflowPunct/>
        <w:topLinePunct w:val="0"/>
        <w:autoSpaceDE w:val="0"/>
        <w:autoSpaceDN w:val="0"/>
        <w:bidi w:val="0"/>
        <w:adjustRightInd w:val="0"/>
        <w:snapToGrid w:val="0"/>
        <w:spacing w:before="28" w:line="560" w:lineRule="exact"/>
        <w:ind w:left="644"/>
        <w:textAlignment w:val="baseline"/>
        <w:outlineLvl w:val="1"/>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
          <w:bCs/>
          <w:spacing w:val="-10"/>
          <w:sz w:val="32"/>
          <w:szCs w:val="32"/>
          <w:lang w:val="en-US" w:eastAsia="zh-CN"/>
        </w:rPr>
        <w:t>三、</w:t>
      </w:r>
      <w:r>
        <w:rPr>
          <w:rFonts w:hint="eastAsia" w:ascii="仿宋_GB2312" w:hAnsi="仿宋_GB2312" w:eastAsia="仿宋_GB2312" w:cs="仿宋_GB2312"/>
          <w:b/>
          <w:bCs/>
          <w:snapToGrid w:val="0"/>
          <w:color w:val="000000"/>
          <w:spacing w:val="-10"/>
          <w:kern w:val="0"/>
          <w:sz w:val="32"/>
          <w:szCs w:val="32"/>
          <w:lang w:val="en-US" w:eastAsia="zh-CN" w:bidi="ar-SA"/>
        </w:rPr>
        <w:t>培训内容</w:t>
      </w:r>
      <w:r>
        <w:rPr>
          <w:rFonts w:hint="eastAsia" w:ascii="仿宋_GB2312" w:hAnsi="仿宋_GB2312" w:eastAsia="仿宋_GB2312" w:cs="仿宋_GB2312"/>
          <w:b/>
          <w:bCs/>
          <w:spacing w:val="4"/>
          <w:sz w:val="32"/>
          <w:szCs w:val="32"/>
          <w:lang w:val="en-US" w:eastAsia="zh-CN"/>
        </w:rPr>
        <w:t xml:space="preserve"> </w:t>
      </w:r>
    </w:p>
    <w:p w14:paraId="15165A65">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本次研修围绕高校青年教师专业发展需求，聚焦教学能力提升、数字赋能教学、思政育人融合、科研教研协同、红色文化浸润、实践交流互鉴六大环节，切实强化教师教学设计、课堂实施、创新应用与竞赛备赛能力，为福建高校深化教学改革、打造高水平青年教师队伍提供有力支撑。</w:t>
      </w:r>
    </w:p>
    <w:p w14:paraId="4F0657F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 xml:space="preserve">    四、培训形式 </w:t>
      </w:r>
    </w:p>
    <w:p w14:paraId="4AF5DCC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8" w:firstLineChars="200"/>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集中脱产学习。通过专题讲座、现场教学、教学观摩、随堂听课、专家指导、教学展示、分组研讨等形式。</w:t>
      </w:r>
    </w:p>
    <w:p w14:paraId="2AD4A05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51" w:firstLineChars="200"/>
        <w:textAlignment w:val="baseline"/>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五、培训时间</w:t>
      </w:r>
    </w:p>
    <w:p w14:paraId="09033A5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8" w:firstLineChars="200"/>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2026年9月14日(报到)至9月20日(离训),为期7天(含往返)。</w:t>
      </w:r>
    </w:p>
    <w:p w14:paraId="031D078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03" w:firstLineChars="200"/>
        <w:textAlignment w:val="baseline"/>
        <w:rPr>
          <w:rFonts w:hint="eastAsia" w:ascii="仿宋_GB2312" w:hAnsi="仿宋_GB2312" w:eastAsia="仿宋_GB2312" w:cs="仿宋_GB2312"/>
          <w:spacing w:val="16"/>
          <w:sz w:val="32"/>
          <w:szCs w:val="32"/>
          <w:lang w:val="en-US" w:eastAsia="zh-CN"/>
        </w:rPr>
      </w:pPr>
      <w:r>
        <w:rPr>
          <w:rFonts w:hint="eastAsia" w:ascii="仿宋_GB2312" w:hAnsi="仿宋_GB2312" w:eastAsia="仿宋_GB2312" w:cs="仿宋_GB2312"/>
          <w:b/>
          <w:bCs/>
          <w:spacing w:val="-10"/>
          <w:sz w:val="32"/>
          <w:szCs w:val="32"/>
          <w:lang w:val="en-US" w:eastAsia="zh-CN"/>
        </w:rPr>
        <w:t>六、</w:t>
      </w:r>
      <w:r>
        <w:rPr>
          <w:rFonts w:hint="eastAsia" w:ascii="仿宋_GB2312" w:hAnsi="仿宋_GB2312" w:eastAsia="仿宋_GB2312" w:cs="仿宋_GB2312"/>
          <w:b/>
          <w:bCs/>
          <w:snapToGrid w:val="0"/>
          <w:color w:val="000000"/>
          <w:spacing w:val="-10"/>
          <w:kern w:val="0"/>
          <w:sz w:val="32"/>
          <w:szCs w:val="32"/>
          <w:lang w:val="en-US" w:eastAsia="zh-CN" w:bidi="ar-SA"/>
        </w:rPr>
        <w:t>培训地点</w:t>
      </w:r>
    </w:p>
    <w:p w14:paraId="5E899B59">
      <w:pPr>
        <w:keepNext w:val="0"/>
        <w:keepLines w:val="0"/>
        <w:pageBreakBefore w:val="0"/>
        <w:widowControl/>
        <w:tabs>
          <w:tab w:val="left" w:pos="406"/>
        </w:tabs>
        <w:kinsoku w:val="0"/>
        <w:wordWrap/>
        <w:overflowPunct/>
        <w:topLinePunct w:val="0"/>
        <w:autoSpaceDE w:val="0"/>
        <w:autoSpaceDN w:val="0"/>
        <w:bidi w:val="0"/>
        <w:adjustRightInd w:val="0"/>
        <w:snapToGrid w:val="0"/>
        <w:spacing w:line="560" w:lineRule="exact"/>
        <w:ind w:left="-188" w:firstLine="704" w:firstLineChars="200"/>
        <w:textAlignment w:val="baseline"/>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spacing w:val="16"/>
          <w:sz w:val="32"/>
          <w:szCs w:val="32"/>
          <w:lang w:val="en-US" w:eastAsia="zh-CN"/>
        </w:rPr>
        <w:t xml:space="preserve">  </w:t>
      </w:r>
      <w:r>
        <w:rPr>
          <w:rFonts w:hint="eastAsia" w:ascii="仿宋_GB2312" w:hAnsi="仿宋_GB2312" w:eastAsia="仿宋_GB2312" w:cs="仿宋_GB2312"/>
          <w:bCs/>
          <w:sz w:val="32"/>
          <w:szCs w:val="32"/>
          <w:highlight w:val="none"/>
          <w:lang w:val="en-US" w:eastAsia="zh-CN"/>
        </w:rPr>
        <w:t>武汉大学</w:t>
      </w:r>
    </w:p>
    <w:p w14:paraId="6991F62B">
      <w:pPr>
        <w:keepNext w:val="0"/>
        <w:keepLines w:val="0"/>
        <w:pageBreakBefore w:val="0"/>
        <w:widowControl/>
        <w:numPr>
          <w:ilvl w:val="0"/>
          <w:numId w:val="1"/>
        </w:numPr>
        <w:tabs>
          <w:tab w:val="left" w:pos="406"/>
        </w:tabs>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培训费用</w:t>
      </w:r>
    </w:p>
    <w:p w14:paraId="54664CBA">
      <w:pPr>
        <w:keepNext w:val="0"/>
        <w:keepLines w:val="0"/>
        <w:pageBreakBefore w:val="0"/>
        <w:widowControl/>
        <w:numPr>
          <w:ilvl w:val="0"/>
          <w:numId w:val="0"/>
        </w:numPr>
        <w:tabs>
          <w:tab w:val="left" w:pos="406"/>
        </w:tabs>
        <w:kinsoku w:val="0"/>
        <w:wordWrap/>
        <w:overflowPunct/>
        <w:topLinePunct w:val="0"/>
        <w:autoSpaceDE w:val="0"/>
        <w:autoSpaceDN w:val="0"/>
        <w:bidi w:val="0"/>
        <w:adjustRightInd w:val="0"/>
        <w:snapToGrid w:val="0"/>
        <w:spacing w:line="560" w:lineRule="exact"/>
        <w:ind w:firstLine="648" w:firstLineChars="200"/>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本次培训由福建省高等学校师资培训中心具体组织实施，委托武汉大学协办。培训统一安排食宿， 参训人员往返交通费用由派出高校承担。</w:t>
      </w:r>
    </w:p>
    <w:p w14:paraId="329E795E">
      <w:pPr>
        <w:keepNext w:val="0"/>
        <w:keepLines w:val="0"/>
        <w:pageBreakBefore w:val="0"/>
        <w:widowControl/>
        <w:kinsoku w:val="0"/>
        <w:wordWrap/>
        <w:overflowPunct/>
        <w:topLinePunct w:val="0"/>
        <w:autoSpaceDE w:val="0"/>
        <w:autoSpaceDN w:val="0"/>
        <w:bidi w:val="0"/>
        <w:adjustRightInd w:val="0"/>
        <w:snapToGrid w:val="0"/>
        <w:spacing w:before="177" w:line="560" w:lineRule="exact"/>
        <w:ind w:left="634"/>
        <w:textAlignment w:val="baseline"/>
        <w:outlineLvl w:val="2"/>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八、其他事项</w:t>
      </w:r>
    </w:p>
    <w:p w14:paraId="7D70AAF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77" w:line="560" w:lineRule="exact"/>
        <w:ind w:firstLine="648" w:firstLineChars="200"/>
        <w:textAlignment w:val="baseline"/>
        <w:outlineLvl w:val="2"/>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(一)报名事宜</w:t>
      </w:r>
    </w:p>
    <w:p w14:paraId="23F4D24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line="560" w:lineRule="exact"/>
        <w:ind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1.请尚未选派参训学员的相关高校高度重视本次调训工作。根据我中心发出</w:t>
      </w:r>
      <w:r>
        <w:rPr>
          <w:rFonts w:hint="eastAsia" w:ascii="仿宋_GB2312" w:hAnsi="仿宋_GB2312" w:eastAsia="仿宋_GB2312" w:cs="仿宋_GB2312"/>
          <w:snapToGrid w:val="0"/>
          <w:color w:val="000000"/>
          <w:spacing w:val="2"/>
          <w:kern w:val="0"/>
          <w:sz w:val="32"/>
          <w:szCs w:val="32"/>
          <w:lang w:val="en-US" w:eastAsia="en-US" w:bidi="ar-SA"/>
        </w:rPr>
        <w:t>的</w:t>
      </w:r>
      <w:r>
        <w:rPr>
          <w:rFonts w:hint="eastAsia" w:ascii="仿宋_GB2312" w:hAnsi="仿宋_GB2312" w:eastAsia="仿宋_GB2312" w:cs="仿宋_GB2312"/>
          <w:snapToGrid w:val="0"/>
          <w:color w:val="000000"/>
          <w:spacing w:val="2"/>
          <w:kern w:val="0"/>
          <w:sz w:val="32"/>
          <w:szCs w:val="32"/>
          <w:lang w:val="en-US" w:eastAsia="zh-CN" w:bidi="ar-SA"/>
        </w:rPr>
        <w:t>《</w:t>
      </w:r>
      <w:r>
        <w:rPr>
          <w:rFonts w:hint="eastAsia" w:ascii="仿宋_GB2312" w:hAnsi="仿宋_GB2312" w:eastAsia="仿宋_GB2312" w:cs="仿宋_GB2312"/>
          <w:snapToGrid w:val="0"/>
          <w:color w:val="000000"/>
          <w:spacing w:val="2"/>
          <w:kern w:val="0"/>
          <w:sz w:val="32"/>
          <w:szCs w:val="32"/>
          <w:lang w:val="en-US" w:eastAsia="en-US" w:bidi="ar-SA"/>
        </w:rPr>
        <w:t>关于做好福建省高等教育师资省级培训202</w:t>
      </w:r>
      <w:r>
        <w:rPr>
          <w:rFonts w:hint="eastAsia" w:ascii="仿宋_GB2312" w:hAnsi="仿宋_GB2312" w:eastAsia="仿宋_GB2312" w:cs="仿宋_GB2312"/>
          <w:snapToGrid w:val="0"/>
          <w:color w:val="000000"/>
          <w:spacing w:val="2"/>
          <w:kern w:val="0"/>
          <w:sz w:val="32"/>
          <w:szCs w:val="32"/>
          <w:lang w:val="en-US" w:eastAsia="zh-CN" w:bidi="ar-SA"/>
        </w:rPr>
        <w:t>6</w:t>
      </w:r>
      <w:r>
        <w:rPr>
          <w:rFonts w:hint="eastAsia" w:ascii="仿宋_GB2312" w:hAnsi="仿宋_GB2312" w:eastAsia="仿宋_GB2312" w:cs="仿宋_GB2312"/>
          <w:snapToGrid w:val="0"/>
          <w:color w:val="000000"/>
          <w:spacing w:val="2"/>
          <w:kern w:val="0"/>
          <w:sz w:val="32"/>
          <w:szCs w:val="32"/>
          <w:lang w:val="en-US" w:eastAsia="en-US" w:bidi="ar-SA"/>
        </w:rPr>
        <w:t>年第一批调训工作的通知</w:t>
      </w:r>
      <w:r>
        <w:rPr>
          <w:rFonts w:hint="eastAsia" w:ascii="仿宋_GB2312" w:hAnsi="仿宋_GB2312" w:eastAsia="仿宋_GB2312" w:cs="仿宋_GB2312"/>
          <w:snapToGrid w:val="0"/>
          <w:color w:val="000000"/>
          <w:spacing w:val="2"/>
          <w:kern w:val="0"/>
          <w:sz w:val="32"/>
          <w:szCs w:val="32"/>
          <w:lang w:val="en-US" w:eastAsia="zh-CN" w:bidi="ar-SA"/>
        </w:rPr>
        <w:t>》（闽师培调[2026]2号）的分配名额，精准选拔。</w:t>
      </w:r>
    </w:p>
    <w:p w14:paraId="6D0D478D">
      <w:pPr>
        <w:pStyle w:val="2"/>
        <w:keepNext w:val="0"/>
        <w:keepLines w:val="0"/>
        <w:pageBreakBefore w:val="0"/>
        <w:widowControl/>
        <w:kinsoku w:val="0"/>
        <w:wordWrap/>
        <w:overflowPunct/>
        <w:topLinePunct w:val="0"/>
        <w:autoSpaceDE w:val="0"/>
        <w:autoSpaceDN w:val="0"/>
        <w:bidi w:val="0"/>
        <w:adjustRightInd w:val="0"/>
        <w:snapToGrid w:val="0"/>
        <w:spacing w:before="200" w:line="560" w:lineRule="exact"/>
        <w:ind w:firstLine="62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2.请尚未选派参训学员的相关高校于2026年9月10日前将 《参训学员信息汇总表》(word 版及加盖学校公章的 PDF 版，详见附件1)发送至27135645@qq.com,邮件主题以学校名称命名。已完成选派任务的高校，请勿重复向指定邮箱提交参训学员信息汇总表。</w:t>
      </w:r>
    </w:p>
    <w:p w14:paraId="29AAA614">
      <w:pPr>
        <w:pStyle w:val="2"/>
        <w:keepNext w:val="0"/>
        <w:keepLines w:val="0"/>
        <w:pageBreakBefore w:val="0"/>
        <w:widowControl/>
        <w:kinsoku w:val="0"/>
        <w:wordWrap/>
        <w:overflowPunct/>
        <w:topLinePunct w:val="0"/>
        <w:autoSpaceDE w:val="0"/>
        <w:autoSpaceDN w:val="0"/>
        <w:bidi w:val="0"/>
        <w:adjustRightInd w:val="0"/>
        <w:snapToGrid w:val="0"/>
        <w:spacing w:before="200" w:line="560" w:lineRule="exact"/>
        <w:ind w:firstLine="62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3.请各高校通知参训人员及时扫描二维码(详见附件2)加 入培训群。</w:t>
      </w:r>
    </w:p>
    <w:p w14:paraId="2685ECDE">
      <w:pPr>
        <w:pStyle w:val="2"/>
        <w:keepNext w:val="0"/>
        <w:keepLines w:val="0"/>
        <w:pageBreakBefore w:val="0"/>
        <w:widowControl/>
        <w:kinsoku w:val="0"/>
        <w:wordWrap/>
        <w:overflowPunct/>
        <w:topLinePunct w:val="0"/>
        <w:autoSpaceDE w:val="0"/>
        <w:autoSpaceDN w:val="0"/>
        <w:bidi w:val="0"/>
        <w:adjustRightInd w:val="0"/>
        <w:snapToGrid w:val="0"/>
        <w:spacing w:before="200" w:line="560" w:lineRule="exact"/>
        <w:ind w:firstLine="62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(二)项目联系人</w:t>
      </w:r>
    </w:p>
    <w:p w14:paraId="602B272B">
      <w:pPr>
        <w:pStyle w:val="2"/>
        <w:keepNext w:val="0"/>
        <w:keepLines w:val="0"/>
        <w:pageBreakBefore w:val="0"/>
        <w:widowControl/>
        <w:kinsoku w:val="0"/>
        <w:wordWrap/>
        <w:overflowPunct/>
        <w:topLinePunct w:val="0"/>
        <w:autoSpaceDE w:val="0"/>
        <w:autoSpaceDN w:val="0"/>
        <w:bidi w:val="0"/>
        <w:adjustRightInd w:val="0"/>
        <w:snapToGrid w:val="0"/>
        <w:spacing w:before="200" w:line="560" w:lineRule="exact"/>
        <w:ind w:firstLine="62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林曦云老师059183498591(福建省高等学校师资培训中心) 张璐老师13554012142(武汉大学继续教育学院)</w:t>
      </w:r>
    </w:p>
    <w:p w14:paraId="46D8B078">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附件：</w:t>
      </w:r>
    </w:p>
    <w:p w14:paraId="15A8C75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1.2026年福建高校青年教师短期访学班参训学员信息汇总</w:t>
      </w:r>
    </w:p>
    <w:p w14:paraId="6BFB33F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2.培训群微信二维码</w:t>
      </w:r>
    </w:p>
    <w:p w14:paraId="75E48CD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4E0F6CF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25CE7F88">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3888" w:firstLineChars="1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福建省高等学校师资培训中心</w:t>
      </w:r>
    </w:p>
    <w:p w14:paraId="41A25F9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5184" w:firstLineChars="16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2026年9月4日</w:t>
      </w:r>
    </w:p>
    <w:p w14:paraId="1CB2F389">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5CFA503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firstLine="648" w:firstLineChars="20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54B38AE5">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74B5CD46">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57C266D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4895759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6B35335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p w14:paraId="7F78BC0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65" w:line="560" w:lineRule="exact"/>
        <w:ind w:right="194" w:rightChars="0"/>
        <w:jc w:val="both"/>
        <w:textAlignment w:val="baseline"/>
        <w:rPr>
          <w:rFonts w:hint="eastAsia" w:ascii="仿宋_GB2312" w:hAnsi="仿宋_GB2312" w:eastAsia="仿宋_GB2312" w:cs="仿宋_GB2312"/>
          <w:snapToGrid w:val="0"/>
          <w:color w:val="000000"/>
          <w:spacing w:val="2"/>
          <w:kern w:val="0"/>
          <w:sz w:val="32"/>
          <w:szCs w:val="32"/>
          <w:lang w:val="en-US" w:eastAsia="zh-CN" w:bidi="ar-SA"/>
        </w:rPr>
      </w:pPr>
    </w:p>
    <w:tbl>
      <w:tblPr>
        <w:tblStyle w:val="8"/>
        <w:tblW w:w="890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786"/>
        <w:gridCol w:w="4114"/>
      </w:tblGrid>
      <w:tr w14:paraId="2E8EC9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0" w:hRule="atLeast"/>
        </w:trPr>
        <w:tc>
          <w:tcPr>
            <w:tcW w:w="4786" w:type="dxa"/>
            <w:tcBorders>
              <w:top w:val="single" w:color="000000" w:sz="8" w:space="0"/>
              <w:bottom w:val="single" w:color="000000" w:sz="8" w:space="0"/>
            </w:tcBorders>
            <w:vAlign w:val="top"/>
          </w:tcPr>
          <w:p w14:paraId="7A6581C2">
            <w:pPr>
              <w:pStyle w:val="2"/>
              <w:numPr>
                <w:ilvl w:val="0"/>
                <w:numId w:val="0"/>
              </w:numPr>
              <w:spacing w:before="165" w:line="360" w:lineRule="auto"/>
              <w:ind w:right="194" w:rightChars="0"/>
              <w:jc w:val="both"/>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福建省高等学校师资培训中心</w:t>
            </w:r>
          </w:p>
        </w:tc>
        <w:tc>
          <w:tcPr>
            <w:tcW w:w="4114" w:type="dxa"/>
            <w:tcBorders>
              <w:top w:val="single" w:color="000000" w:sz="8" w:space="0"/>
              <w:bottom w:val="single" w:color="000000" w:sz="8" w:space="0"/>
            </w:tcBorders>
            <w:vAlign w:val="top"/>
          </w:tcPr>
          <w:p w14:paraId="7A95C445">
            <w:pPr>
              <w:pStyle w:val="2"/>
              <w:numPr>
                <w:ilvl w:val="0"/>
                <w:numId w:val="0"/>
              </w:numPr>
              <w:spacing w:before="165" w:line="360" w:lineRule="auto"/>
              <w:ind w:right="194" w:rightChars="0" w:firstLine="648" w:firstLineChars="200"/>
              <w:jc w:val="both"/>
              <w:rPr>
                <w:rFonts w:hint="eastAsia" w:ascii="仿宋_GB2312" w:hAnsi="仿宋_GB2312" w:eastAsia="仿宋_GB2312" w:cs="仿宋_GB2312"/>
                <w:snapToGrid w:val="0"/>
                <w:color w:val="000000"/>
                <w:spacing w:val="2"/>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zh-CN" w:bidi="ar-SA"/>
              </w:rPr>
              <w:t>2026年9月4日印发</w:t>
            </w:r>
          </w:p>
        </w:tc>
      </w:tr>
    </w:tbl>
    <w:p w14:paraId="699143A4">
      <w:pPr>
        <w:rPr>
          <w:rFonts w:ascii="Arial" w:hAnsi="Arial" w:eastAsia="Arial" w:cs="Arial"/>
          <w:sz w:val="21"/>
          <w:szCs w:val="21"/>
        </w:rPr>
        <w:sectPr>
          <w:footerReference r:id="rId5" w:type="default"/>
          <w:pgSz w:w="11900" w:h="16840"/>
          <w:pgMar w:top="1587" w:right="1587" w:bottom="1587" w:left="1587" w:header="0" w:footer="1189" w:gutter="0"/>
          <w:cols w:space="720" w:num="1"/>
        </w:sectPr>
      </w:pPr>
    </w:p>
    <w:p w14:paraId="4E3D9F13">
      <w:pPr>
        <w:pStyle w:val="2"/>
        <w:spacing w:before="229" w:line="359" w:lineRule="auto"/>
        <w:ind w:right="609"/>
        <w:jc w:val="both"/>
        <w:rPr>
          <w:rFonts w:hint="eastAsia" w:ascii="仿宋_GB2312" w:hAnsi="仿宋_GB2312" w:eastAsia="仿宋_GB2312" w:cs="仿宋_GB2312"/>
          <w:b w:val="0"/>
          <w:bCs w:val="0"/>
          <w:spacing w:val="8"/>
          <w:sz w:val="24"/>
          <w:szCs w:val="24"/>
        </w:rPr>
      </w:pPr>
      <w:r>
        <w:rPr>
          <w:rFonts w:hint="eastAsia" w:ascii="仿宋_GB2312" w:hAnsi="仿宋_GB2312" w:eastAsia="仿宋_GB2312" w:cs="仿宋_GB2312"/>
          <w:b w:val="0"/>
          <w:bCs w:val="0"/>
          <w:spacing w:val="8"/>
          <w:sz w:val="32"/>
          <w:szCs w:val="32"/>
        </w:rPr>
        <w:t>附件1</w:t>
      </w:r>
    </w:p>
    <w:p w14:paraId="668F8AE6">
      <w:pPr>
        <w:pStyle w:val="2"/>
        <w:spacing w:before="229" w:line="359" w:lineRule="auto"/>
        <w:ind w:right="609"/>
        <w:jc w:val="both"/>
        <w:rPr>
          <w:rFonts w:hint="eastAsia" w:ascii="仿宋_GB2312" w:hAnsi="仿宋_GB2312" w:eastAsia="仿宋_GB2312" w:cs="仿宋_GB2312"/>
          <w:b w:val="0"/>
          <w:bCs w:val="0"/>
          <w:spacing w:val="8"/>
          <w:sz w:val="24"/>
          <w:szCs w:val="24"/>
        </w:rPr>
      </w:pPr>
    </w:p>
    <w:p w14:paraId="41541E3E">
      <w:pPr>
        <w:pStyle w:val="2"/>
        <w:spacing w:before="229" w:line="359" w:lineRule="auto"/>
        <w:ind w:right="609" w:firstLine="675"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lang w:val="en-US" w:eastAsia="zh-CN"/>
        </w:rPr>
        <w:t>2026年</w:t>
      </w:r>
      <w:r>
        <w:rPr>
          <w:rFonts w:hint="eastAsia" w:ascii="仿宋_GB2312" w:hAnsi="仿宋_GB2312" w:eastAsia="仿宋_GB2312" w:cs="仿宋_GB2312"/>
          <w:b/>
          <w:bCs/>
          <w:spacing w:val="8"/>
          <w:sz w:val="32"/>
          <w:szCs w:val="32"/>
          <w:lang w:eastAsia="zh-CN"/>
        </w:rPr>
        <w:t>福建高校青年教师短期访学班</w:t>
      </w:r>
      <w:r>
        <w:rPr>
          <w:rFonts w:hint="eastAsia" w:ascii="仿宋_GB2312" w:hAnsi="仿宋_GB2312" w:eastAsia="仿宋_GB2312" w:cs="仿宋_GB2312"/>
          <w:b/>
          <w:bCs/>
          <w:spacing w:val="8"/>
          <w:sz w:val="32"/>
          <w:szCs w:val="32"/>
        </w:rPr>
        <w:t>参训学员信息汇总表</w:t>
      </w:r>
    </w:p>
    <w:p w14:paraId="1A55C790">
      <w:pPr>
        <w:spacing w:line="266" w:lineRule="auto"/>
        <w:rPr>
          <w:rFonts w:hint="eastAsia" w:ascii="仿宋_GB2312" w:hAnsi="仿宋_GB2312" w:eastAsia="仿宋_GB2312" w:cs="仿宋_GB2312"/>
          <w:sz w:val="32"/>
          <w:szCs w:val="32"/>
        </w:rPr>
      </w:pPr>
    </w:p>
    <w:p w14:paraId="66EFE2E5">
      <w:pPr>
        <w:keepNext w:val="0"/>
        <w:keepLines w:val="0"/>
        <w:widowControl/>
        <w:suppressLineNumbers w:val="0"/>
        <w:jc w:val="left"/>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 xml:space="preserve">选派高校：                    （盖章） </w:t>
      </w:r>
    </w:p>
    <w:p w14:paraId="6F2BEA84">
      <w:pPr>
        <w:keepNext w:val="0"/>
        <w:keepLines w:val="0"/>
        <w:widowControl/>
        <w:suppressLineNumbers w:val="0"/>
        <w:jc w:val="left"/>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联系人：                       手机号码：</w:t>
      </w:r>
    </w:p>
    <w:tbl>
      <w:tblPr>
        <w:tblStyle w:val="6"/>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1398"/>
        <w:gridCol w:w="963"/>
        <w:gridCol w:w="963"/>
        <w:gridCol w:w="963"/>
        <w:gridCol w:w="2282"/>
        <w:gridCol w:w="1700"/>
      </w:tblGrid>
      <w:tr w14:paraId="4772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shd w:val="clear" w:color="auto" w:fill="auto"/>
            <w:vAlign w:val="center"/>
          </w:tcPr>
          <w:p w14:paraId="23256C47">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培训项目名称</w:t>
            </w:r>
          </w:p>
        </w:tc>
        <w:tc>
          <w:tcPr>
            <w:tcW w:w="1398" w:type="dxa"/>
            <w:shd w:val="clear" w:color="auto" w:fill="auto"/>
            <w:vAlign w:val="center"/>
          </w:tcPr>
          <w:p w14:paraId="683C43BA">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选派</w:t>
            </w:r>
          </w:p>
          <w:p w14:paraId="7F913671">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高校</w:t>
            </w:r>
          </w:p>
        </w:tc>
        <w:tc>
          <w:tcPr>
            <w:tcW w:w="963" w:type="dxa"/>
            <w:shd w:val="clear" w:color="auto" w:fill="auto"/>
            <w:vAlign w:val="center"/>
          </w:tcPr>
          <w:p w14:paraId="73827B1E">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sz w:val="32"/>
                <w:szCs w:val="32"/>
              </w:rPr>
              <w:t>院系</w:t>
            </w:r>
          </w:p>
        </w:tc>
        <w:tc>
          <w:tcPr>
            <w:tcW w:w="963" w:type="dxa"/>
            <w:shd w:val="clear" w:color="auto" w:fill="auto"/>
            <w:vAlign w:val="center"/>
          </w:tcPr>
          <w:p w14:paraId="5FC55A33">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sz w:val="32"/>
                <w:szCs w:val="32"/>
              </w:rPr>
              <w:t>专业</w:t>
            </w:r>
          </w:p>
        </w:tc>
        <w:tc>
          <w:tcPr>
            <w:tcW w:w="963" w:type="dxa"/>
            <w:shd w:val="clear" w:color="auto" w:fill="auto"/>
            <w:vAlign w:val="center"/>
          </w:tcPr>
          <w:p w14:paraId="66623E26">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参训教师姓名</w:t>
            </w:r>
          </w:p>
        </w:tc>
        <w:tc>
          <w:tcPr>
            <w:tcW w:w="2282" w:type="dxa"/>
            <w:vAlign w:val="center"/>
          </w:tcPr>
          <w:p w14:paraId="3D74144F">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参训教师</w:t>
            </w:r>
          </w:p>
          <w:p w14:paraId="488EDBB1">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身份证号码</w:t>
            </w:r>
          </w:p>
        </w:tc>
        <w:tc>
          <w:tcPr>
            <w:tcW w:w="1700" w:type="dxa"/>
            <w:vAlign w:val="center"/>
          </w:tcPr>
          <w:p w14:paraId="6AC5CFCF">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参训教师</w:t>
            </w:r>
          </w:p>
          <w:p w14:paraId="01EE34FA">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手机号码</w:t>
            </w:r>
          </w:p>
        </w:tc>
      </w:tr>
      <w:tr w14:paraId="42A0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shd w:val="clear" w:color="auto" w:fill="auto"/>
            <w:vAlign w:val="top"/>
          </w:tcPr>
          <w:p w14:paraId="46957A00">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w:t>
            </w:r>
          </w:p>
        </w:tc>
        <w:tc>
          <w:tcPr>
            <w:tcW w:w="1398" w:type="dxa"/>
            <w:shd w:val="clear" w:color="auto" w:fill="auto"/>
            <w:vAlign w:val="top"/>
          </w:tcPr>
          <w:p w14:paraId="586FCE03">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w:t>
            </w:r>
          </w:p>
        </w:tc>
        <w:tc>
          <w:tcPr>
            <w:tcW w:w="963" w:type="dxa"/>
            <w:shd w:val="clear" w:color="auto" w:fill="auto"/>
            <w:vAlign w:val="top"/>
          </w:tcPr>
          <w:p w14:paraId="2AB148E1">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w:t>
            </w:r>
          </w:p>
        </w:tc>
        <w:tc>
          <w:tcPr>
            <w:tcW w:w="963" w:type="dxa"/>
            <w:shd w:val="clear" w:color="auto" w:fill="auto"/>
            <w:vAlign w:val="top"/>
          </w:tcPr>
          <w:p w14:paraId="4AC553A4">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w:t>
            </w:r>
          </w:p>
        </w:tc>
        <w:tc>
          <w:tcPr>
            <w:tcW w:w="963" w:type="dxa"/>
            <w:shd w:val="clear" w:color="auto" w:fill="auto"/>
            <w:vAlign w:val="top"/>
          </w:tcPr>
          <w:p w14:paraId="22A95437">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w:t>
            </w:r>
          </w:p>
        </w:tc>
        <w:tc>
          <w:tcPr>
            <w:tcW w:w="2282" w:type="dxa"/>
          </w:tcPr>
          <w:p w14:paraId="66443765">
            <w:pPr>
              <w:keepNext w:val="0"/>
              <w:keepLines w:val="0"/>
              <w:widowControl/>
              <w:suppressLineNumbers w:val="0"/>
              <w:jc w:val="center"/>
              <w:rPr>
                <w:rFonts w:hint="eastAsia" w:ascii="仿宋_GB2312" w:hAnsi="仿宋_GB2312" w:eastAsia="仿宋_GB2312" w:cs="仿宋_GB2312"/>
                <w:snapToGrid w:val="0"/>
                <w:color w:val="000000"/>
                <w:spacing w:val="8"/>
                <w:kern w:val="0"/>
                <w:sz w:val="28"/>
                <w:szCs w:val="28"/>
                <w:lang w:val="en-US" w:eastAsia="zh-CN" w:bidi="ar-SA"/>
              </w:rPr>
            </w:pPr>
            <w:r>
              <w:rPr>
                <w:rFonts w:hint="eastAsia" w:ascii="仿宋_GB2312" w:hAnsi="仿宋_GB2312" w:eastAsia="仿宋_GB2312" w:cs="仿宋_GB2312"/>
                <w:snapToGrid w:val="0"/>
                <w:color w:val="000000"/>
                <w:spacing w:val="8"/>
                <w:kern w:val="0"/>
                <w:sz w:val="28"/>
                <w:szCs w:val="28"/>
                <w:lang w:val="en-US" w:eastAsia="zh-CN" w:bidi="ar-SA"/>
              </w:rPr>
              <w:t>*******************</w:t>
            </w:r>
          </w:p>
        </w:tc>
        <w:tc>
          <w:tcPr>
            <w:tcW w:w="1700" w:type="dxa"/>
          </w:tcPr>
          <w:p w14:paraId="30F5EC0C">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w:t>
            </w:r>
          </w:p>
        </w:tc>
      </w:tr>
      <w:tr w14:paraId="2738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shd w:val="clear" w:color="auto" w:fill="auto"/>
            <w:vAlign w:val="top"/>
          </w:tcPr>
          <w:p w14:paraId="087D4C08">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1398" w:type="dxa"/>
            <w:shd w:val="clear" w:color="auto" w:fill="auto"/>
            <w:vAlign w:val="top"/>
          </w:tcPr>
          <w:p w14:paraId="655A542D">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963" w:type="dxa"/>
            <w:shd w:val="clear" w:color="auto" w:fill="auto"/>
            <w:vAlign w:val="top"/>
          </w:tcPr>
          <w:p w14:paraId="508AE6D0">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963" w:type="dxa"/>
            <w:shd w:val="clear" w:color="auto" w:fill="auto"/>
            <w:vAlign w:val="top"/>
          </w:tcPr>
          <w:p w14:paraId="2F582C94">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963" w:type="dxa"/>
            <w:shd w:val="clear" w:color="auto" w:fill="auto"/>
            <w:vAlign w:val="top"/>
          </w:tcPr>
          <w:p w14:paraId="08647356">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2282" w:type="dxa"/>
            <w:vAlign w:val="top"/>
          </w:tcPr>
          <w:p w14:paraId="669B8EE8">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en-US" w:bidi="ar-SA"/>
              </w:rPr>
            </w:pPr>
          </w:p>
        </w:tc>
        <w:tc>
          <w:tcPr>
            <w:tcW w:w="1700" w:type="dxa"/>
            <w:vAlign w:val="top"/>
          </w:tcPr>
          <w:p w14:paraId="0F9A6664">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en-US" w:bidi="ar-SA"/>
              </w:rPr>
            </w:pPr>
          </w:p>
        </w:tc>
      </w:tr>
      <w:tr w14:paraId="36D6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shd w:val="clear" w:color="auto" w:fill="auto"/>
            <w:vAlign w:val="top"/>
          </w:tcPr>
          <w:p w14:paraId="6E7F1338">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1398" w:type="dxa"/>
            <w:shd w:val="clear" w:color="auto" w:fill="auto"/>
            <w:vAlign w:val="top"/>
          </w:tcPr>
          <w:p w14:paraId="6962D627">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963" w:type="dxa"/>
            <w:shd w:val="clear" w:color="auto" w:fill="auto"/>
            <w:vAlign w:val="top"/>
          </w:tcPr>
          <w:p w14:paraId="2859A89F">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963" w:type="dxa"/>
            <w:shd w:val="clear" w:color="auto" w:fill="auto"/>
            <w:vAlign w:val="top"/>
          </w:tcPr>
          <w:p w14:paraId="1C371950">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963" w:type="dxa"/>
            <w:shd w:val="clear" w:color="auto" w:fill="auto"/>
            <w:vAlign w:val="top"/>
          </w:tcPr>
          <w:p w14:paraId="62423868">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zh-CN" w:bidi="ar-SA"/>
              </w:rPr>
            </w:pPr>
          </w:p>
        </w:tc>
        <w:tc>
          <w:tcPr>
            <w:tcW w:w="2282" w:type="dxa"/>
            <w:vAlign w:val="top"/>
          </w:tcPr>
          <w:p w14:paraId="4EBD8D0E">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en-US" w:bidi="ar-SA"/>
              </w:rPr>
            </w:pPr>
          </w:p>
        </w:tc>
        <w:tc>
          <w:tcPr>
            <w:tcW w:w="1700" w:type="dxa"/>
            <w:vAlign w:val="top"/>
          </w:tcPr>
          <w:p w14:paraId="37DA99D6">
            <w:pPr>
              <w:keepNext w:val="0"/>
              <w:keepLines w:val="0"/>
              <w:widowControl/>
              <w:suppressLineNumbers w:val="0"/>
              <w:jc w:val="center"/>
              <w:rPr>
                <w:rFonts w:hint="eastAsia" w:ascii="仿宋_GB2312" w:hAnsi="仿宋_GB2312" w:eastAsia="仿宋_GB2312" w:cs="仿宋_GB2312"/>
                <w:snapToGrid w:val="0"/>
                <w:color w:val="000000"/>
                <w:spacing w:val="8"/>
                <w:kern w:val="0"/>
                <w:sz w:val="32"/>
                <w:szCs w:val="32"/>
                <w:lang w:val="en-US" w:eastAsia="en-US" w:bidi="ar-SA"/>
              </w:rPr>
            </w:pPr>
          </w:p>
        </w:tc>
      </w:tr>
    </w:tbl>
    <w:p w14:paraId="16ECA83A">
      <w:pPr>
        <w:pStyle w:val="2"/>
        <w:keepNext w:val="0"/>
        <w:keepLines w:val="0"/>
        <w:pageBreakBefore w:val="0"/>
        <w:widowControl/>
        <w:kinsoku w:val="0"/>
        <w:wordWrap/>
        <w:overflowPunct/>
        <w:topLinePunct w:val="0"/>
        <w:autoSpaceDE w:val="0"/>
        <w:autoSpaceDN w:val="0"/>
        <w:bidi w:val="0"/>
        <w:adjustRightInd w:val="0"/>
        <w:snapToGrid w:val="0"/>
        <w:spacing w:before="229" w:line="560" w:lineRule="exact"/>
        <w:ind w:right="609"/>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备 注 ：</w:t>
      </w:r>
    </w:p>
    <w:p w14:paraId="3DED95C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72" w:firstLineChars="200"/>
        <w:jc w:val="both"/>
        <w:textAlignment w:val="baseline"/>
      </w:pPr>
      <w:r>
        <w:rPr>
          <w:rFonts w:hint="eastAsia" w:ascii="仿宋_GB2312" w:hAnsi="仿宋_GB2312" w:eastAsia="仿宋_GB2312" w:cs="仿宋_GB2312"/>
          <w:spacing w:val="8"/>
          <w:sz w:val="32"/>
          <w:szCs w:val="32"/>
        </w:rPr>
        <w:t>请尚未选派参训学员的相关高校于202</w:t>
      </w:r>
      <w:r>
        <w:rPr>
          <w:rFonts w:hint="eastAsia" w:ascii="仿宋_GB2312" w:hAnsi="仿宋_GB2312" w:eastAsia="仿宋_GB2312" w:cs="仿宋_GB2312"/>
          <w:spacing w:val="8"/>
          <w:sz w:val="32"/>
          <w:szCs w:val="32"/>
          <w:lang w:val="en-US" w:eastAsia="zh-CN"/>
        </w:rPr>
        <w:t>6</w:t>
      </w:r>
      <w:r>
        <w:rPr>
          <w:rFonts w:hint="eastAsia" w:ascii="仿宋_GB2312" w:hAnsi="仿宋_GB2312" w:eastAsia="仿宋_GB2312" w:cs="仿宋_GB2312"/>
          <w:spacing w:val="8"/>
          <w:sz w:val="32"/>
          <w:szCs w:val="32"/>
        </w:rPr>
        <w:t>年9月</w:t>
      </w: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spacing w:val="8"/>
          <w:sz w:val="32"/>
          <w:szCs w:val="32"/>
        </w:rPr>
        <w:t>0日前将《参</w:t>
      </w: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1"/>
          <w:sz w:val="32"/>
          <w:szCs w:val="32"/>
        </w:rPr>
        <w:t>训学员信息汇总表》(word 版及加盖学校公章的PDF</w:t>
      </w:r>
      <w:r>
        <w:rPr>
          <w:rFonts w:hint="eastAsia" w:ascii="仿宋_GB2312" w:hAnsi="仿宋_GB2312" w:eastAsia="仿宋_GB2312" w:cs="仿宋_GB2312"/>
          <w:spacing w:val="-40"/>
          <w:sz w:val="32"/>
          <w:szCs w:val="32"/>
        </w:rPr>
        <w:t xml:space="preserve"> </w:t>
      </w:r>
      <w:r>
        <w:rPr>
          <w:rFonts w:hint="eastAsia" w:ascii="仿宋_GB2312" w:hAnsi="仿宋_GB2312" w:eastAsia="仿宋_GB2312" w:cs="仿宋_GB2312"/>
          <w:spacing w:val="-1"/>
          <w:sz w:val="32"/>
          <w:szCs w:val="32"/>
        </w:rPr>
        <w:t>版)发送</w:t>
      </w:r>
      <w:r>
        <w:rPr>
          <w:rFonts w:hint="eastAsia" w:ascii="仿宋_GB2312" w:hAnsi="仿宋_GB2312" w:eastAsia="仿宋_GB2312" w:cs="仿宋_GB2312"/>
          <w:spacing w:val="-2"/>
          <w:sz w:val="32"/>
          <w:szCs w:val="32"/>
        </w:rPr>
        <w:t>至</w:t>
      </w:r>
      <w:r>
        <w:rPr>
          <w:rFonts w:hint="eastAsia" w:ascii="仿宋_GB2312" w:hAnsi="仿宋_GB2312" w:eastAsia="仿宋_GB2312" w:cs="仿宋_GB2312"/>
          <w:spacing w:val="-85"/>
          <w:sz w:val="32"/>
          <w:szCs w:val="32"/>
        </w:rPr>
        <w:t xml:space="preserve"> </w:t>
      </w:r>
      <w:r>
        <w:rPr>
          <w:rFonts w:hint="eastAsia" w:ascii="仿宋_GB2312" w:hAnsi="仿宋_GB2312" w:eastAsia="仿宋_GB2312" w:cs="仿宋_GB2312"/>
          <w:snapToGrid w:val="0"/>
          <w:color w:val="000000"/>
          <w:spacing w:val="2"/>
          <w:kern w:val="0"/>
          <w:sz w:val="32"/>
          <w:szCs w:val="32"/>
          <w:lang w:val="en-US" w:eastAsia="zh-CN" w:bidi="ar-SA"/>
        </w:rPr>
        <w:t>27135645@qq.com</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69"/>
          <w:sz w:val="32"/>
          <w:szCs w:val="32"/>
        </w:rPr>
        <w:t xml:space="preserve"> </w:t>
      </w:r>
      <w:r>
        <w:rPr>
          <w:rFonts w:hint="eastAsia" w:ascii="仿宋_GB2312" w:hAnsi="仿宋_GB2312" w:eastAsia="仿宋_GB2312" w:cs="仿宋_GB2312"/>
          <w:spacing w:val="-2"/>
          <w:sz w:val="32"/>
          <w:szCs w:val="32"/>
        </w:rPr>
        <w:t>邮件主题以学校名称命名</w:t>
      </w:r>
      <w:r>
        <w:rPr>
          <w:rFonts w:hint="eastAsia" w:ascii="仿宋_GB2312" w:hAnsi="仿宋_GB2312" w:eastAsia="仿宋_GB2312" w:cs="仿宋_GB2312"/>
          <w:spacing w:val="-3"/>
          <w:sz w:val="32"/>
          <w:szCs w:val="32"/>
        </w:rPr>
        <w:t>。已完成选</w:t>
      </w:r>
      <w:r>
        <w:rPr>
          <w:rFonts w:hint="eastAsia" w:ascii="仿宋_GB2312" w:hAnsi="仿宋_GB2312" w:eastAsia="仿宋_GB2312" w:cs="仿宋_GB2312"/>
          <w:spacing w:val="3"/>
          <w:sz w:val="32"/>
          <w:szCs w:val="32"/>
        </w:rPr>
        <w:t>派任务的高校，请勿重复向指定邮箱提交参训学员信息汇总</w:t>
      </w:r>
      <w:r>
        <w:rPr>
          <w:rFonts w:hint="eastAsia" w:ascii="仿宋_GB2312" w:hAnsi="仿宋_GB2312" w:eastAsia="仿宋_GB2312" w:cs="仿宋_GB2312"/>
          <w:spacing w:val="-17"/>
          <w:sz w:val="32"/>
          <w:szCs w:val="32"/>
        </w:rPr>
        <w:t>表。</w:t>
      </w:r>
    </w:p>
    <w:p w14:paraId="37EACA70">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sectPr>
          <w:footerReference r:id="rId6" w:type="default"/>
          <w:pgSz w:w="11900" w:h="16840"/>
          <w:pgMar w:top="1316" w:right="1085" w:bottom="1075" w:left="1145" w:header="0" w:footer="951" w:gutter="0"/>
          <w:cols w:space="720" w:num="1"/>
        </w:sectPr>
      </w:pPr>
    </w:p>
    <w:p w14:paraId="66B22179">
      <w:pPr>
        <w:pStyle w:val="2"/>
        <w:spacing w:before="269" w:line="222" w:lineRule="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pacing w:val="21"/>
          <w:sz w:val="32"/>
          <w:szCs w:val="32"/>
        </w:rPr>
        <w:t>附件</w:t>
      </w:r>
      <w:r>
        <w:rPr>
          <w:rFonts w:hint="eastAsia" w:ascii="仿宋_GB2312" w:hAnsi="仿宋_GB2312" w:eastAsia="仿宋_GB2312" w:cs="仿宋_GB2312"/>
          <w:b w:val="0"/>
          <w:bCs w:val="0"/>
          <w:spacing w:val="21"/>
          <w:sz w:val="32"/>
          <w:szCs w:val="32"/>
          <w:lang w:val="en-US" w:eastAsia="zh-CN"/>
        </w:rPr>
        <w:t>2</w:t>
      </w:r>
    </w:p>
    <w:p w14:paraId="1035EC42">
      <w:pPr>
        <w:spacing w:line="269" w:lineRule="auto"/>
        <w:rPr>
          <w:rFonts w:ascii="Arial"/>
          <w:sz w:val="21"/>
        </w:rPr>
      </w:pPr>
    </w:p>
    <w:p w14:paraId="42A90AF5">
      <w:pPr>
        <w:spacing w:line="269" w:lineRule="auto"/>
        <w:rPr>
          <w:rFonts w:ascii="Arial"/>
          <w:sz w:val="21"/>
        </w:rPr>
      </w:pPr>
    </w:p>
    <w:p w14:paraId="355BD42E">
      <w:pPr>
        <w:spacing w:before="136" w:line="219" w:lineRule="auto"/>
        <w:ind w:left="2505"/>
        <w:rPr>
          <w:rFonts w:ascii="宋体" w:hAnsi="宋体" w:eastAsia="宋体" w:cs="宋体"/>
          <w:sz w:val="42"/>
          <w:szCs w:val="42"/>
        </w:rPr>
      </w:pPr>
      <w:r>
        <w:rPr>
          <w:rFonts w:ascii="宋体" w:hAnsi="宋体" w:eastAsia="宋体" w:cs="宋体"/>
          <w:b/>
          <w:bCs/>
          <w:spacing w:val="-7"/>
          <w:sz w:val="42"/>
          <w:szCs w:val="42"/>
        </w:rPr>
        <w:t>培训群微信二维码</w:t>
      </w:r>
    </w:p>
    <w:p w14:paraId="53D34F87">
      <w:pPr>
        <w:spacing w:before="122" w:line="227" w:lineRule="auto"/>
        <w:ind w:left="2360"/>
        <w:rPr>
          <w:rFonts w:ascii="楷体" w:hAnsi="楷体" w:eastAsia="楷体" w:cs="楷体"/>
          <w:sz w:val="36"/>
          <w:szCs w:val="36"/>
        </w:rPr>
      </w:pPr>
      <w:r>
        <w:rPr>
          <w:rFonts w:ascii="楷体" w:hAnsi="楷体" w:eastAsia="楷体" w:cs="楷体"/>
          <w:spacing w:val="-7"/>
          <w:sz w:val="36"/>
          <w:szCs w:val="36"/>
        </w:rPr>
        <w:t>(进群请备注校名+姓名)</w:t>
      </w:r>
    </w:p>
    <w:p w14:paraId="7BCFF60A">
      <w:pPr>
        <w:spacing w:line="242" w:lineRule="auto"/>
        <w:rPr>
          <w:rFonts w:ascii="Arial"/>
          <w:sz w:val="21"/>
        </w:rPr>
      </w:pPr>
    </w:p>
    <w:p w14:paraId="53816759">
      <w:pPr>
        <w:spacing w:line="242" w:lineRule="auto"/>
        <w:rPr>
          <w:rFonts w:ascii="Arial"/>
          <w:sz w:val="21"/>
        </w:rPr>
      </w:pPr>
    </w:p>
    <w:p w14:paraId="23112CBA">
      <w:pPr>
        <w:spacing w:line="242" w:lineRule="auto"/>
        <w:rPr>
          <w:rFonts w:ascii="Arial"/>
          <w:sz w:val="21"/>
        </w:rPr>
      </w:pPr>
    </w:p>
    <w:p w14:paraId="68D2CD02">
      <w:pPr>
        <w:spacing w:line="243" w:lineRule="auto"/>
        <w:rPr>
          <w:rFonts w:hint="eastAsia" w:ascii="Arial"/>
          <w:sz w:val="21"/>
          <w:lang w:eastAsia="zh-CN"/>
        </w:rPr>
      </w:pPr>
      <w:r>
        <w:rPr>
          <w:rFonts w:hint="eastAsia"/>
          <w:sz w:val="21"/>
          <w:lang w:eastAsia="zh-CN"/>
        </w:rPr>
        <w:t xml:space="preserve">   </w:t>
      </w:r>
    </w:p>
    <w:p w14:paraId="61B67442">
      <w:pPr>
        <w:spacing w:line="382" w:lineRule="auto"/>
      </w:pPr>
      <w:r>
        <w:rPr>
          <w:rFonts w:hint="eastAsia" w:ascii="Arial"/>
          <w:sz w:val="21"/>
          <w:lang w:eastAsia="zh-CN"/>
        </w:rPr>
        <w:drawing>
          <wp:inline distT="0" distB="0" distL="114300" distR="114300">
            <wp:extent cx="5077460" cy="5629275"/>
            <wp:effectExtent l="0" t="0" r="1270" b="1905"/>
            <wp:docPr id="1" name="图片 1" descr="2026-09-06 10:15:08.1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6-09-06 10:15:08.170000"/>
                    <pic:cNvPicPr>
                      <a:picLocks noChangeAspect="1"/>
                    </pic:cNvPicPr>
                  </pic:nvPicPr>
                  <pic:blipFill>
                    <a:blip r:embed="rId9"/>
                    <a:stretch>
                      <a:fillRect/>
                    </a:stretch>
                  </pic:blipFill>
                  <pic:spPr>
                    <a:xfrm>
                      <a:off x="0" y="0"/>
                      <a:ext cx="5077460" cy="5629275"/>
                    </a:xfrm>
                    <a:prstGeom prst="rect">
                      <a:avLst/>
                    </a:prstGeom>
                  </pic:spPr>
                </pic:pic>
              </a:graphicData>
            </a:graphic>
          </wp:inline>
        </w:drawing>
      </w:r>
    </w:p>
    <w:p w14:paraId="28F94930">
      <w:pPr>
        <w:spacing w:line="444" w:lineRule="auto"/>
        <w:rPr>
          <w:rFonts w:ascii="Arial"/>
          <w:sz w:val="21"/>
        </w:rPr>
      </w:pPr>
    </w:p>
    <w:p w14:paraId="3C3BDC2D">
      <w:pPr>
        <w:spacing w:before="92" w:line="246" w:lineRule="auto"/>
        <w:ind w:left="0" w:leftChars="0" w:right="1582" w:firstLine="0" w:firstLineChars="0"/>
        <w:rPr>
          <w:rFonts w:ascii="黑体" w:hAnsi="黑体" w:eastAsia="黑体" w:cs="黑体"/>
          <w:sz w:val="28"/>
          <w:szCs w:val="28"/>
        </w:rPr>
      </w:pPr>
    </w:p>
    <w:sectPr>
      <w:footerReference r:id="rId7" w:type="default"/>
      <w:pgSz w:w="11900" w:h="16840"/>
      <w:pgMar w:top="1431" w:right="1785" w:bottom="1167" w:left="1770" w:header="0" w:footer="104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A8738">
    <w:pPr>
      <w:spacing w:line="173" w:lineRule="auto"/>
      <w:ind w:left="4380"/>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76D2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876D2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646CC">
    <w:pPr>
      <w:spacing w:line="170" w:lineRule="auto"/>
      <w:ind w:left="468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97525">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3097525">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8F2E4">
    <w:pPr>
      <w:spacing w:line="173" w:lineRule="auto"/>
      <w:ind w:left="422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37167">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037167">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81BA6"/>
    <w:multiLevelType w:val="singleLevel"/>
    <w:tmpl w:val="4AC81BA6"/>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CF3834"/>
    <w:rsid w:val="04AE20E3"/>
    <w:rsid w:val="071F6AB6"/>
    <w:rsid w:val="0CC20155"/>
    <w:rsid w:val="1B430B6D"/>
    <w:rsid w:val="1BA535D6"/>
    <w:rsid w:val="1E141EBA"/>
    <w:rsid w:val="1F022AED"/>
    <w:rsid w:val="24022E57"/>
    <w:rsid w:val="29FC6AB7"/>
    <w:rsid w:val="34BC6025"/>
    <w:rsid w:val="34FC3E0F"/>
    <w:rsid w:val="426D634C"/>
    <w:rsid w:val="43A22025"/>
    <w:rsid w:val="44D37CED"/>
    <w:rsid w:val="46244F73"/>
    <w:rsid w:val="588875E4"/>
    <w:rsid w:val="59260BAB"/>
    <w:rsid w:val="59C7413C"/>
    <w:rsid w:val="5E361890"/>
    <w:rsid w:val="6B6932A5"/>
    <w:rsid w:val="6E8977BA"/>
    <w:rsid w:val="701F3EA5"/>
    <w:rsid w:val="706C11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7"/>
      <w:szCs w:val="2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1385</Words>
  <Characters>1567</Characters>
  <Lines>0</Lines>
  <Paragraphs>0</Paragraphs>
  <TotalTime>11</TotalTime>
  <ScaleCrop>false</ScaleCrop>
  <LinksUpToDate>false</LinksUpToDate>
  <CharactersWithSpaces>1650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2025-10-28T16:31:00Z</dcterms:created>
  <dc:creator>云</dc:creator>
  <cp:lastModifiedBy>相随</cp:lastModifiedBy>
  <cp:lastPrinted>2026-09-07T00:23:00Z</cp:lastPrinted>
  <dcterms:modified xsi:type="dcterms:W3CDTF">2026-09-07T08:03:07Z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2025-10-27T08:31:00Z</vt:filetime>
  </property>
  <property fmtid="{D5CDD505-2E9C-101B-9397-08002B2CF9AE}" pid="4" name="UsrData">
    <vt:lpwstr>68febd465212d1001f90da4cwl</vt:lpwstr>
  </property>
  <property fmtid="{D5CDD505-2E9C-101B-9397-08002B2CF9AE}" pid="5" name="KSOTemplateDocerSaveRecord">
    <vt:lpwstr>eyJoZGlkIjoiMjc0ZjNhYjRhN2MwMWUzZjhmZGNmZTZkOTE3MWMyMGYiLCJ1c2VySWQiOiI3MjEzNjYxNjMifQ==</vt:lpwstr>
  </property>
  <property fmtid="{D5CDD505-2E9C-101B-9397-08002B2CF9AE}" pid="6" name="KSOProductBuildVer">
    <vt:lpwstr>2052-12.1.0.28505</vt:lpwstr>
  </property>
  <property fmtid="{D5CDD505-2E9C-101B-9397-08002B2CF9AE}" pid="7" name="ICV">
    <vt:lpwstr>3726D05E7E0A4AFEB945BC94309ABB99_13</vt:lpwstr>
  </property>
</Properties>
</file>