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A1EF5">
      <w:pPr>
        <w:keepNext w:val="0"/>
        <w:keepLines w:val="0"/>
        <w:pageBreakBefore w:val="0"/>
        <w:widowControl/>
        <w:suppressLineNumbers w:val="0"/>
        <w:kinsoku/>
        <w:wordWrap/>
        <w:overflowPunct/>
        <w:topLinePunct w:val="0"/>
        <w:autoSpaceDE/>
        <w:autoSpaceDN/>
        <w:bidi w:val="0"/>
        <w:adjustRightInd/>
        <w:snapToGrid/>
        <w:spacing w:after="0" w:afterAutospacing="0" w:line="500" w:lineRule="exact"/>
        <w:ind w:firstLine="600" w:firstLineChars="200"/>
        <w:jc w:val="center"/>
        <w:textAlignment w:val="auto"/>
        <w:rPr>
          <w:rFonts w:hint="eastAsia" w:ascii="Times New Roman" w:hAnsi="Times New Roman" w:eastAsia="仿宋_GB2312" w:cs="仿宋_GB2312"/>
          <w:b w:val="0"/>
          <w:bCs w:val="0"/>
          <w:kern w:val="2"/>
          <w:sz w:val="30"/>
          <w:szCs w:val="30"/>
          <w:lang w:val="en-US" w:eastAsia="zh-CN" w:bidi="ar-SA"/>
        </w:rPr>
      </w:pPr>
      <w:r>
        <w:rPr>
          <w:rFonts w:hint="eastAsia" w:ascii="Times New Roman" w:hAnsi="Times New Roman" w:eastAsia="仿宋_GB2312" w:cs="仿宋_GB2312"/>
          <w:b w:val="0"/>
          <w:bCs w:val="0"/>
          <w:kern w:val="2"/>
          <w:sz w:val="30"/>
          <w:szCs w:val="30"/>
          <w:lang w:val="en-US" w:eastAsia="zh-CN" w:bidi="ar-SA"/>
        </w:rPr>
        <w:t xml:space="preserve">               </w:t>
      </w:r>
    </w:p>
    <w:p w14:paraId="0A39B7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33A578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3059D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52A97E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07272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textAlignment w:val="auto"/>
        <w:rPr>
          <w:rFonts w:hint="eastAsia" w:ascii="Times New Roman" w:hAnsi="Times New Roman" w:eastAsia="仿宋_GB2312" w:cs="仿宋_GB2312"/>
          <w:b w:val="0"/>
          <w:bCs w:val="0"/>
          <w:kern w:val="2"/>
          <w:sz w:val="30"/>
          <w:szCs w:val="30"/>
          <w:lang w:val="en-US" w:eastAsia="zh-CN" w:bidi="ar-SA"/>
        </w:rPr>
      </w:pPr>
    </w:p>
    <w:p w14:paraId="5AC902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firstLine="0" w:firstLineChars="0"/>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闽师培〔2026〕8号</w:t>
      </w:r>
    </w:p>
    <w:p w14:paraId="32E77F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firstLine="0" w:firstLineChars="0"/>
        <w:jc w:val="center"/>
        <w:textAlignment w:val="auto"/>
        <w:rPr>
          <w:rFonts w:hint="eastAsia" w:ascii="Times New Roman" w:hAnsi="Times New Roman" w:eastAsia="仿宋_GB2312" w:cs="仿宋_GB2312"/>
          <w:b w:val="0"/>
          <w:bCs w:val="0"/>
          <w:kern w:val="2"/>
          <w:sz w:val="32"/>
          <w:szCs w:val="32"/>
          <w:lang w:val="en-US" w:eastAsia="zh-CN" w:bidi="ar-SA"/>
        </w:rPr>
      </w:pPr>
    </w:p>
    <w:p w14:paraId="378FC0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eastAsia" w:ascii="宋体" w:hAnsi="宋体" w:eastAsia="宋体" w:cs="宋体"/>
          <w:b/>
          <w:bCs/>
          <w:kern w:val="2"/>
          <w:sz w:val="32"/>
          <w:szCs w:val="32"/>
          <w:lang w:val="en-US" w:eastAsia="zh-CN" w:bidi="ar-SA"/>
        </w:rPr>
      </w:pPr>
    </w:p>
    <w:p w14:paraId="7A692718">
      <w:pPr>
        <w:keepNext w:val="0"/>
        <w:keepLines w:val="0"/>
        <w:widowControl/>
        <w:suppressLineNumbers w:val="0"/>
        <w:spacing w:before="0" w:beforeAutospacing="0" w:after="0" w:afterAutospacing="0" w:line="240" w:lineRule="auto"/>
        <w:ind w:firstLine="0" w:firstLineChars="0"/>
        <w:jc w:val="center"/>
        <w:rPr>
          <w:rFonts w:hint="eastAsia" w:asciiTheme="majorEastAsia" w:hAnsiTheme="majorEastAsia" w:eastAsiaTheme="majorEastAsia" w:cstheme="majorEastAsia"/>
          <w:b/>
          <w:bCs/>
          <w:color w:val="auto"/>
          <w:kern w:val="2"/>
          <w:sz w:val="44"/>
          <w:szCs w:val="44"/>
          <w:lang w:val="en-US" w:eastAsia="zh-CN"/>
        </w:rPr>
      </w:pPr>
      <w:r>
        <w:rPr>
          <w:rFonts w:hint="eastAsia" w:asciiTheme="majorEastAsia" w:hAnsiTheme="majorEastAsia" w:eastAsiaTheme="majorEastAsia" w:cstheme="majorEastAsia"/>
          <w:b/>
          <w:bCs/>
          <w:color w:val="000000"/>
          <w:kern w:val="2"/>
          <w:sz w:val="44"/>
          <w:szCs w:val="44"/>
          <w:lang w:val="en-US" w:eastAsia="zh-CN"/>
        </w:rPr>
        <w:t>关于举办2026年福建省高校</w:t>
      </w:r>
      <w:r>
        <w:rPr>
          <w:rFonts w:hint="eastAsia" w:asciiTheme="majorEastAsia" w:hAnsiTheme="majorEastAsia" w:eastAsiaTheme="majorEastAsia" w:cstheme="majorEastAsia"/>
          <w:b/>
          <w:bCs/>
          <w:color w:val="auto"/>
          <w:kern w:val="2"/>
          <w:sz w:val="44"/>
          <w:szCs w:val="44"/>
          <w:lang w:val="en-US" w:eastAsia="zh-CN"/>
        </w:rPr>
        <w:t>师德师风建设</w:t>
      </w:r>
    </w:p>
    <w:p w14:paraId="4AFDF5A3">
      <w:pPr>
        <w:keepNext w:val="0"/>
        <w:keepLines w:val="0"/>
        <w:widowControl/>
        <w:suppressLineNumbers w:val="0"/>
        <w:spacing w:before="0" w:beforeAutospacing="0" w:after="0" w:afterAutospacing="0" w:line="240" w:lineRule="auto"/>
        <w:ind w:firstLine="0" w:firstLineChars="0"/>
        <w:jc w:val="center"/>
        <w:rPr>
          <w:rFonts w:hint="eastAsia" w:asciiTheme="majorEastAsia" w:hAnsiTheme="majorEastAsia" w:eastAsiaTheme="majorEastAsia" w:cstheme="majorEastAsia"/>
          <w:b/>
          <w:bCs/>
          <w:color w:val="000000"/>
          <w:kern w:val="2"/>
          <w:sz w:val="44"/>
          <w:szCs w:val="44"/>
          <w:lang w:val="en-US" w:eastAsia="zh-CN"/>
        </w:rPr>
      </w:pPr>
      <w:r>
        <w:rPr>
          <w:rFonts w:hint="eastAsia" w:asciiTheme="majorEastAsia" w:hAnsiTheme="majorEastAsia" w:eastAsiaTheme="majorEastAsia" w:cstheme="majorEastAsia"/>
          <w:b/>
          <w:bCs/>
          <w:color w:val="000000"/>
          <w:kern w:val="2"/>
          <w:sz w:val="44"/>
          <w:szCs w:val="44"/>
          <w:lang w:val="en-US" w:eastAsia="zh-CN"/>
        </w:rPr>
        <w:t>专题培训班的通知</w:t>
      </w:r>
    </w:p>
    <w:p w14:paraId="05349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default" w:ascii="仿宋_GB2312" w:hAnsi="仿宋_GB2312" w:eastAsia="仿宋_GB2312" w:cs="仿宋_GB2312"/>
          <w:color w:val="000000"/>
          <w:kern w:val="2"/>
          <w:sz w:val="32"/>
          <w:szCs w:val="32"/>
          <w:lang w:val="en-US" w:eastAsia="zh-CN"/>
        </w:rPr>
      </w:pPr>
      <w:bookmarkStart w:id="0" w:name="_GoBack"/>
      <w:bookmarkEnd w:id="0"/>
    </w:p>
    <w:p w14:paraId="661A1E1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各高等院校：</w:t>
      </w:r>
    </w:p>
    <w:p w14:paraId="0A02A24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为深入贯彻落实中央教育工作领导小组关于健全新时代师德师风建设长效机制的有关精神，推动师德师风建设常态化、长效化，按照《福建省教育厅办公室关于做好2026年省级教师培训工作的通知》（闽教办师〔2026〕8号）要求，经研究决定，委托国家教育行政学院举办“福建省高校师德师风建设专题培训班</w:t>
      </w:r>
      <w:r>
        <w:rPr>
          <w:rFonts w:hint="default" w:ascii="仿宋_GB2312" w:hAnsi="仿宋_GB2312" w:eastAsia="仿宋_GB2312" w:cs="仿宋_GB2312"/>
          <w:color w:val="000000"/>
          <w:kern w:val="2"/>
          <w:sz w:val="32"/>
          <w:szCs w:val="32"/>
          <w:lang w:val="en-US" w:eastAsia="zh-CN"/>
        </w:rPr>
        <w:t>”</w:t>
      </w:r>
      <w:r>
        <w:rPr>
          <w:rFonts w:hint="eastAsia" w:ascii="仿宋_GB2312" w:hAnsi="仿宋_GB2312" w:eastAsia="仿宋_GB2312" w:cs="仿宋_GB2312"/>
          <w:color w:val="000000"/>
          <w:kern w:val="2"/>
          <w:sz w:val="32"/>
          <w:szCs w:val="32"/>
          <w:lang w:val="en-US" w:eastAsia="zh-CN"/>
        </w:rPr>
        <w:t xml:space="preserve">。为保证培训顺利实施，现将有关事项通知如下：         </w:t>
      </w:r>
    </w:p>
    <w:p w14:paraId="596542E3">
      <w:pPr>
        <w:keepNext w:val="0"/>
        <w:keepLines w:val="0"/>
        <w:pageBreakBefore w:val="0"/>
        <w:widowControl w:val="0"/>
        <w:numPr>
          <w:ilvl w:val="0"/>
          <w:numId w:val="2"/>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b w:val="0"/>
          <w:sz w:val="32"/>
          <w:lang w:val="en-US" w:eastAsia="zh-CN"/>
        </w:rPr>
      </w:pPr>
      <w:r>
        <w:rPr>
          <w:rFonts w:hint="eastAsia" w:ascii="黑体" w:hAnsi="黑体" w:eastAsia="黑体"/>
          <w:b w:val="0"/>
          <w:sz w:val="32"/>
          <w:lang w:val="en-US" w:eastAsia="zh-CN"/>
        </w:rPr>
        <w:t>培训目标</w:t>
      </w:r>
    </w:p>
    <w:p w14:paraId="4DBD1CF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2"/>
          <w:sz w:val="32"/>
          <w:szCs w:val="32"/>
          <w:lang w:val="en-US" w:eastAsia="zh-CN"/>
        </w:rPr>
        <w:t>坚持以教育家精神铸魂强师，深入学习贯彻全国、全省教育大会精神，围绕落实师德师风第一标准和健全长效机制，推动参训学员进一步提高政治站位，增强政策执行能力、师德教育引导能力、风险防范处置能力和工作落实能力；引导广大教师争做“经师”和“人师”相统一的大先生，打造一支师德高尚、业务精湛、结构合理、充满活力的高素质专业化教师队伍；</w:t>
      </w:r>
      <w:r>
        <w:rPr>
          <w:rFonts w:hint="eastAsia" w:ascii="仿宋_GB2312" w:hAnsi="仿宋_GB2312" w:eastAsia="仿宋_GB2312" w:cs="仿宋_GB2312"/>
          <w:sz w:val="32"/>
          <w:szCs w:val="32"/>
          <w:lang w:val="en-US" w:eastAsia="zh-CN"/>
        </w:rPr>
        <w:t>围绕</w:t>
      </w:r>
      <w:r>
        <w:rPr>
          <w:rFonts w:hint="eastAsia" w:ascii="仿宋_GB2312" w:hAnsi="仿宋_GB2312" w:eastAsia="仿宋_GB2312" w:cs="仿宋_GB2312"/>
          <w:sz w:val="32"/>
          <w:szCs w:val="32"/>
        </w:rPr>
        <w:t>新时代教师职业行为准则与师德师风建设</w:t>
      </w:r>
      <w:r>
        <w:rPr>
          <w:rFonts w:hint="eastAsia" w:ascii="仿宋_GB2312" w:hAnsi="仿宋_GB2312" w:eastAsia="仿宋_GB2312" w:cs="仿宋_GB2312"/>
          <w:sz w:val="32"/>
          <w:szCs w:val="32"/>
          <w:lang w:val="en-US" w:eastAsia="zh-CN"/>
        </w:rPr>
        <w:t>工作的</w:t>
      </w:r>
      <w:r>
        <w:rPr>
          <w:rFonts w:hint="eastAsia" w:ascii="仿宋_GB2312" w:hAnsi="仿宋_GB2312" w:eastAsia="仿宋_GB2312" w:cs="仿宋_GB2312"/>
          <w:sz w:val="32"/>
          <w:szCs w:val="32"/>
        </w:rPr>
        <w:t>核心要求，</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rPr>
        <w:t>健全新时代师德师风建设长效机制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将教育家精神和师德师风融入教师职业生涯全过程</w:t>
      </w:r>
      <w:r>
        <w:rPr>
          <w:rFonts w:hint="eastAsia" w:ascii="仿宋_GB2312" w:hAnsi="仿宋_GB2312" w:eastAsia="仿宋_GB2312" w:cs="仿宋_GB2312"/>
          <w:sz w:val="32"/>
          <w:szCs w:val="32"/>
          <w:lang w:eastAsia="zh-CN"/>
        </w:rPr>
        <w:t>。</w:t>
      </w:r>
    </w:p>
    <w:p w14:paraId="2FDC3E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黑体" w:hAnsi="黑体" w:eastAsia="黑体"/>
          <w:b w:val="0"/>
          <w:sz w:val="32"/>
        </w:rPr>
      </w:pPr>
      <w:r>
        <w:rPr>
          <w:rFonts w:hint="eastAsia" w:ascii="黑体" w:hAnsi="黑体" w:eastAsia="黑体"/>
          <w:b w:val="0"/>
          <w:sz w:val="32"/>
          <w:lang w:val="en-US" w:eastAsia="zh-CN"/>
        </w:rPr>
        <w:t>二、</w:t>
      </w:r>
      <w:r>
        <w:rPr>
          <w:rFonts w:ascii="黑体" w:hAnsi="黑体" w:eastAsia="黑体"/>
          <w:b w:val="0"/>
          <w:sz w:val="32"/>
        </w:rPr>
        <w:t>培训内容</w:t>
      </w:r>
    </w:p>
    <w:p w14:paraId="4DA9F69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一）深入学习贯彻习近平新时代中国</w:t>
      </w:r>
      <w:r>
        <w:rPr>
          <w:rFonts w:ascii="仿宋_GB2312" w:hAnsi="仿宋_GB2312" w:eastAsia="仿宋_GB2312"/>
          <w:b w:val="0"/>
          <w:sz w:val="32"/>
        </w:rPr>
        <w:t>特色社会主义思想、习近平总书记关于教育的重要论述，学习贯彻党的二十大和二十届历次全会精神、全国教育大会精神，准确把握教育强国建设对教师队伍和师德师风建设的新要求</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二）</w:t>
      </w:r>
      <w:r>
        <w:rPr>
          <w:rFonts w:ascii="仿宋_GB2312" w:hAnsi="仿宋_GB2312" w:eastAsia="仿宋_GB2312"/>
          <w:b w:val="0"/>
          <w:sz w:val="32"/>
        </w:rPr>
        <w:t>围绕弘扬教育家精神，学习国家关于加强新时代高素质专业化教师队伍建设的政策要求，强化为党育人、为国育才使命担当。</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三）</w:t>
      </w:r>
      <w:r>
        <w:rPr>
          <w:rFonts w:ascii="仿宋_GB2312" w:hAnsi="仿宋_GB2312" w:eastAsia="仿宋_GB2312"/>
          <w:b w:val="0"/>
          <w:sz w:val="32"/>
        </w:rPr>
        <w:t>围绕师德师风建设长效机制，学习师德教育、典型引领、教师准入、考核评价、监督管理、违规查处、责任落实等重点任务，提升制度执行和工作协同能力。</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四）</w:t>
      </w:r>
      <w:r>
        <w:rPr>
          <w:rFonts w:ascii="仿宋_GB2312" w:hAnsi="仿宋_GB2312" w:eastAsia="仿宋_GB2312"/>
          <w:b w:val="0"/>
          <w:sz w:val="32"/>
        </w:rPr>
        <w:t>围绕高校师德师风建设重点难点，开展常见师德失范问题分析、纪法教育、警示教育和舆情应对，增强底线意识和风险防范能力。</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五）</w:t>
      </w:r>
      <w:r>
        <w:rPr>
          <w:rFonts w:ascii="仿宋_GB2312" w:hAnsi="仿宋_GB2312" w:eastAsia="仿宋_GB2312"/>
          <w:b w:val="0"/>
          <w:sz w:val="32"/>
        </w:rPr>
        <w:t>围绕新时代高校教师思想政治和师德师风建设工作实践，学习高校经验做法，提升工作谋划、品牌建设和成果转化能力。</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六）</w:t>
      </w:r>
      <w:r>
        <w:rPr>
          <w:rFonts w:ascii="仿宋_GB2312" w:hAnsi="仿宋_GB2312" w:eastAsia="仿宋_GB2312"/>
          <w:b w:val="0"/>
          <w:sz w:val="32"/>
        </w:rPr>
        <w:t>结合教育数字化发展趋势，研讨数字技术、网络传播和人工智能背景下师德师风建设面临的新情况新问题，提升治理的针对性和实效性。</w:t>
      </w:r>
    </w:p>
    <w:p w14:paraId="2573A42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200"/>
        <w:textAlignment w:val="auto"/>
        <w:rPr>
          <w:rFonts w:hint="eastAsia" w:ascii="黑体" w:hAnsi="黑体" w:eastAsia="黑体"/>
          <w:b w:val="0"/>
          <w:sz w:val="32"/>
          <w:lang w:val="en-US" w:eastAsia="zh-CN"/>
        </w:rPr>
      </w:pPr>
    </w:p>
    <w:p w14:paraId="0994E1C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200"/>
        <w:textAlignment w:val="auto"/>
        <w:rPr>
          <w:rFonts w:hint="eastAsia" w:ascii="仿宋_GB2312" w:hAnsi="仿宋_GB2312" w:eastAsia="仿宋_GB2312" w:cs="仿宋_GB2312"/>
          <w:color w:val="000000"/>
          <w:kern w:val="2"/>
          <w:sz w:val="32"/>
          <w:szCs w:val="32"/>
          <w:lang w:val="en-US" w:eastAsia="zh-CN"/>
        </w:rPr>
      </w:pPr>
      <w:r>
        <w:rPr>
          <w:rFonts w:hint="eastAsia" w:ascii="黑体" w:hAnsi="黑体" w:eastAsia="黑体"/>
          <w:b w:val="0"/>
          <w:sz w:val="32"/>
          <w:lang w:val="en-US" w:eastAsia="zh-CN"/>
        </w:rPr>
        <w:t xml:space="preserve">三、培训安排 </w:t>
      </w:r>
    </w:p>
    <w:p w14:paraId="798FC58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200"/>
        <w:textAlignment w:val="auto"/>
        <w:rPr>
          <w:rFonts w:hint="default"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采取线下集中培训和线上网络研修相结合的方式开展培训。</w:t>
      </w:r>
    </w:p>
    <w:p w14:paraId="30CC9E2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黑体" w:hAnsi="黑体" w:eastAsia="黑体" w:cs="黑体"/>
          <w:b w:val="0"/>
          <w:bCs w:val="0"/>
          <w:color w:val="000000"/>
          <w:kern w:val="2"/>
          <w:sz w:val="32"/>
          <w:szCs w:val="32"/>
          <w:lang w:val="en-US" w:eastAsia="zh-CN"/>
        </w:rPr>
      </w:pPr>
      <w:r>
        <w:rPr>
          <w:rFonts w:hint="eastAsia" w:ascii="仿宋_GB2312" w:hAnsi="仿宋_GB2312" w:eastAsia="仿宋_GB2312" w:cs="仿宋_GB2312"/>
          <w:b/>
          <w:bCs/>
          <w:color w:val="000000"/>
          <w:kern w:val="2"/>
          <w:sz w:val="32"/>
          <w:szCs w:val="32"/>
          <w:lang w:val="en-US" w:eastAsia="zh-CN"/>
        </w:rPr>
        <w:t>（一）线下集中培训：</w:t>
      </w:r>
    </w:p>
    <w:p w14:paraId="0D808C7B">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distribute"/>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1.培训对象：全省各</w:t>
      </w:r>
      <w:r>
        <w:rPr>
          <w:rFonts w:hint="eastAsia" w:ascii="仿宋_GB2312" w:hAnsi="仿宋_GB2312" w:eastAsia="仿宋_GB2312" w:cs="仿宋_GB2312"/>
          <w:color w:val="000000"/>
          <w:kern w:val="2"/>
          <w:sz w:val="32"/>
          <w:szCs w:val="32"/>
          <w:lang w:val="en-US" w:eastAsia="en-US"/>
        </w:rPr>
        <w:t>高校</w:t>
      </w:r>
      <w:r>
        <w:rPr>
          <w:rFonts w:hint="eastAsia" w:ascii="仿宋_GB2312" w:hAnsi="仿宋_GB2312" w:eastAsia="仿宋_GB2312" w:cs="仿宋_GB2312"/>
          <w:color w:val="000000"/>
          <w:kern w:val="2"/>
          <w:sz w:val="32"/>
          <w:szCs w:val="32"/>
          <w:lang w:val="en-US" w:eastAsia="zh-CN"/>
        </w:rPr>
        <w:t>负责师德师风建设工作的校级</w:t>
      </w:r>
    </w:p>
    <w:p w14:paraId="69872C3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领导。</w:t>
      </w:r>
    </w:p>
    <w:p w14:paraId="2D93070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2.培</w:t>
      </w:r>
      <w:r>
        <w:rPr>
          <w:rFonts w:hint="eastAsia" w:ascii="仿宋_GB2312" w:hAnsi="仿宋_GB2312" w:eastAsia="仿宋_GB2312" w:cs="仿宋_GB2312"/>
          <w:color w:val="000000"/>
          <w:kern w:val="2"/>
          <w:sz w:val="32"/>
          <w:szCs w:val="32"/>
          <w:lang w:val="en-US" w:eastAsia="en-US"/>
        </w:rPr>
        <w:t>训时间</w:t>
      </w:r>
      <w:r>
        <w:rPr>
          <w:rFonts w:hint="eastAsia" w:ascii="仿宋_GB2312" w:hAnsi="仿宋_GB2312" w:eastAsia="仿宋_GB2312" w:cs="仿宋_GB2312"/>
          <w:color w:val="000000"/>
          <w:kern w:val="2"/>
          <w:sz w:val="32"/>
          <w:szCs w:val="32"/>
          <w:lang w:val="en-US" w:eastAsia="zh-CN"/>
        </w:rPr>
        <w:t>：2026年10月18日（报到）至10月24日（离训），7天（含往返）。</w:t>
      </w:r>
    </w:p>
    <w:p w14:paraId="2F5285A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3.培训</w:t>
      </w:r>
      <w:r>
        <w:rPr>
          <w:rFonts w:hint="eastAsia" w:ascii="仿宋_GB2312" w:hAnsi="仿宋_GB2312" w:eastAsia="仿宋_GB2312" w:cs="仿宋_GB2312"/>
          <w:color w:val="000000"/>
          <w:kern w:val="2"/>
          <w:sz w:val="32"/>
          <w:szCs w:val="32"/>
          <w:lang w:val="en-US" w:eastAsia="en-US"/>
        </w:rPr>
        <w:t>地点：</w:t>
      </w:r>
      <w:r>
        <w:rPr>
          <w:rFonts w:hint="eastAsia" w:ascii="仿宋_GB2312" w:hAnsi="仿宋_GB2312" w:eastAsia="仿宋_GB2312" w:cs="仿宋_GB2312"/>
          <w:color w:val="000000"/>
          <w:kern w:val="2"/>
          <w:sz w:val="32"/>
          <w:szCs w:val="32"/>
          <w:lang w:val="en-US" w:eastAsia="zh-CN"/>
        </w:rPr>
        <w:t>国家教育行政学院。</w:t>
      </w:r>
    </w:p>
    <w:p w14:paraId="2792220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4.培训形式</w:t>
      </w:r>
      <w:r>
        <w:rPr>
          <w:rFonts w:hint="eastAsia" w:ascii="仿宋_GB2312" w:hAnsi="仿宋_GB2312" w:eastAsia="仿宋_GB2312" w:cs="仿宋_GB2312"/>
          <w:color w:val="000000"/>
          <w:kern w:val="2"/>
          <w:sz w:val="32"/>
          <w:szCs w:val="32"/>
          <w:lang w:val="en-US" w:eastAsia="en-US"/>
        </w:rPr>
        <w:t>：</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线下集中封闭培训。</w:t>
      </w:r>
      <w:r>
        <w:rPr>
          <w:rFonts w:hint="eastAsia" w:ascii="仿宋_GB2312" w:hAnsi="仿宋_GB2312" w:eastAsia="仿宋_GB2312" w:cs="仿宋_GB2312"/>
          <w:color w:val="000000"/>
          <w:kern w:val="2"/>
          <w:sz w:val="32"/>
          <w:szCs w:val="32"/>
          <w:lang w:val="en-US" w:eastAsia="zh-CN"/>
        </w:rPr>
        <w:t>邀请教育部司局领导、领域专家、著名学者及重点高校管理部门负责人授课。通过现场教学、案例教学、结构化研讨等形式，学习借鉴国内高校管理创新实践。</w:t>
      </w:r>
    </w:p>
    <w:p w14:paraId="48E3A53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color w:val="000000"/>
          <w:kern w:val="2"/>
          <w:sz w:val="32"/>
          <w:szCs w:val="32"/>
          <w:lang w:val="en-US" w:eastAsia="zh-CN"/>
        </w:rPr>
      </w:pPr>
      <w:r>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t>（二）线上网络研修：</w:t>
      </w:r>
    </w:p>
    <w:p w14:paraId="376D0C8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1.研修对象：全省各高校在校教师。</w:t>
      </w:r>
    </w:p>
    <w:p w14:paraId="4B3B109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2.研修时间：10月至11月上旬。</w:t>
      </w:r>
    </w:p>
    <w:p w14:paraId="7FD839B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3.研修平台：福建省高等学校师资培训中心与国家教育行政学院合作共建的“教师培训云平台”（https://www.tcc.edu.cn/h/jspxy/）</w:t>
      </w:r>
    </w:p>
    <w:p w14:paraId="61D08F9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4.研修方式：通过指定平台自主选学课程。各高校机</w:t>
      </w:r>
      <w:r>
        <w:rPr>
          <w:rFonts w:hint="eastAsia" w:ascii="仿宋_GB2312" w:hAnsi="仿宋_GB2312" w:eastAsia="仿宋_GB2312" w:cs="仿宋_GB2312"/>
          <w:color w:val="auto"/>
          <w:sz w:val="32"/>
          <w:szCs w:val="32"/>
          <w:highlight w:val="none"/>
          <w:lang w:eastAsia="zh-CN"/>
        </w:rPr>
        <w:t>关党委（党总支）、二级学院各分配3个专属学习账号，</w:t>
      </w:r>
      <w:r>
        <w:rPr>
          <w:rFonts w:hint="eastAsia" w:ascii="仿宋_GB2312" w:hAnsi="仿宋_GB2312" w:eastAsia="仿宋_GB2312" w:cs="仿宋_GB2312"/>
          <w:color w:val="auto"/>
          <w:sz w:val="32"/>
          <w:szCs w:val="32"/>
          <w:highlight w:val="none"/>
          <w:lang w:val="en-US" w:eastAsia="zh-CN"/>
        </w:rPr>
        <w:t>共</w:t>
      </w:r>
      <w:r>
        <w:rPr>
          <w:rFonts w:hint="eastAsia" w:ascii="仿宋_GB2312" w:hAnsi="仿宋_GB2312" w:eastAsia="仿宋_GB2312" w:cs="仿宋_GB2312"/>
          <w:color w:val="000000"/>
          <w:kern w:val="2"/>
          <w:sz w:val="32"/>
          <w:szCs w:val="32"/>
          <w:lang w:val="en-US" w:eastAsia="zh-CN"/>
        </w:rPr>
        <w:t>3480个账号。</w:t>
      </w:r>
      <w:r>
        <w:rPr>
          <w:rFonts w:hint="eastAsia" w:ascii="仿宋_GB2312" w:hAnsi="仿宋_GB2312" w:eastAsia="仿宋_GB2312" w:cs="仿宋_GB2312"/>
          <w:color w:val="auto"/>
          <w:sz w:val="32"/>
          <w:szCs w:val="32"/>
          <w:highlight w:val="none"/>
          <w:lang w:eastAsia="zh-CN"/>
        </w:rPr>
        <w:t>由部门统一统筹管理、集中调配使用，</w:t>
      </w:r>
      <w:r>
        <w:rPr>
          <w:rFonts w:hint="eastAsia" w:ascii="仿宋_GB2312" w:hAnsi="仿宋_GB2312" w:eastAsia="仿宋_GB2312" w:cs="仿宋_GB2312"/>
          <w:color w:val="000000"/>
          <w:kern w:val="2"/>
          <w:sz w:val="32"/>
          <w:szCs w:val="32"/>
          <w:lang w:val="en-US" w:eastAsia="zh-CN"/>
        </w:rPr>
        <w:t>组织</w:t>
      </w:r>
      <w:r>
        <w:rPr>
          <w:rFonts w:hint="eastAsia" w:ascii="仿宋_GB2312" w:hAnsi="仿宋_GB2312" w:eastAsia="仿宋_GB2312" w:cs="仿宋_GB2312"/>
          <w:color w:val="auto"/>
          <w:sz w:val="32"/>
          <w:szCs w:val="32"/>
          <w:highlight w:val="none"/>
          <w:lang w:eastAsia="zh-CN"/>
        </w:rPr>
        <w:t>本部门全体教师开展线上</w:t>
      </w:r>
      <w:r>
        <w:rPr>
          <w:rFonts w:hint="eastAsia" w:ascii="仿宋_GB2312" w:hAnsi="仿宋_GB2312" w:eastAsia="仿宋_GB2312" w:cs="仿宋_GB2312"/>
          <w:color w:val="auto"/>
          <w:sz w:val="32"/>
          <w:szCs w:val="32"/>
          <w:highlight w:val="none"/>
          <w:lang w:val="en-US" w:eastAsia="zh-CN"/>
        </w:rPr>
        <w:t>研修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000000"/>
          <w:kern w:val="2"/>
          <w:sz w:val="32"/>
          <w:szCs w:val="32"/>
          <w:lang w:val="en-US" w:eastAsia="zh-CN"/>
        </w:rPr>
        <w:t>每个账号40学时，由本部门教师结合岗位需求和自身实际，使用本校账号登录平台自主选学相关视频课程（在线学习平台操作流程详见附件3），累计学习完成。</w:t>
      </w:r>
    </w:p>
    <w:p w14:paraId="33F618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960" w:firstLineChars="300"/>
        <w:textAlignment w:val="auto"/>
        <w:rPr>
          <w:rFonts w:hint="eastAsia" w:ascii="黑体" w:hAnsi="黑体" w:eastAsia="黑体"/>
          <w:b w:val="0"/>
          <w:sz w:val="32"/>
          <w:lang w:val="en-US" w:eastAsia="zh-CN"/>
        </w:rPr>
      </w:pPr>
      <w:r>
        <w:rPr>
          <w:rFonts w:hint="eastAsia" w:ascii="黑体" w:hAnsi="黑体" w:eastAsia="黑体"/>
          <w:b w:val="0"/>
          <w:sz w:val="32"/>
          <w:lang w:val="en-US" w:eastAsia="zh-CN"/>
        </w:rPr>
        <w:t>四、组织保障</w:t>
      </w:r>
    </w:p>
    <w:p w14:paraId="00A70CD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kern w:val="2"/>
          <w:sz w:val="32"/>
          <w:szCs w:val="32"/>
          <w:lang w:val="en-US" w:eastAsia="zh-CN"/>
        </w:rPr>
        <w:t>（一）请尚未选派</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线下参训学员</w:t>
      </w:r>
      <w:r>
        <w:rPr>
          <w:rFonts w:hint="eastAsia" w:ascii="仿宋_GB2312" w:hAnsi="仿宋_GB2312" w:eastAsia="仿宋_GB2312" w:cs="仿宋_GB2312"/>
          <w:color w:val="000000"/>
          <w:kern w:val="2"/>
          <w:sz w:val="32"/>
          <w:szCs w:val="32"/>
          <w:lang w:val="en-US" w:eastAsia="zh-CN"/>
        </w:rPr>
        <w:t>的相关高校高度重视本次调训工作。根据我中心发出的《关于做好福建省高等教育师资省级培训2026年第一批调训工作的通知》（闽师培调〔2026〕2号）的</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名额分配选派。</w:t>
      </w:r>
    </w:p>
    <w:p w14:paraId="42863FD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（二）各高校需明确本次培训工作的负责人和联系人，加强</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线上网络研修工作</w:t>
      </w:r>
      <w:r>
        <w:rPr>
          <w:rFonts w:hint="eastAsia" w:ascii="仿宋_GB2312" w:hAnsi="仿宋_GB2312" w:eastAsia="仿宋_GB2312" w:cs="仿宋_GB2312"/>
          <w:color w:val="000000"/>
          <w:kern w:val="2"/>
          <w:sz w:val="32"/>
          <w:szCs w:val="32"/>
          <w:lang w:val="en-US" w:eastAsia="zh-CN"/>
        </w:rPr>
        <w:t>的统筹协调和督促指导，负责本校的培训组织管理。</w:t>
      </w:r>
    </w:p>
    <w:p w14:paraId="5471C0D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b w:val="0"/>
          <w:sz w:val="32"/>
          <w:lang w:val="en-US" w:eastAsia="zh-CN"/>
        </w:rPr>
      </w:pPr>
      <w:r>
        <w:rPr>
          <w:rFonts w:hint="eastAsia" w:ascii="黑体" w:hAnsi="黑体" w:eastAsia="黑体"/>
          <w:b w:val="0"/>
          <w:sz w:val="32"/>
          <w:lang w:val="en-US" w:eastAsia="zh-CN"/>
        </w:rPr>
        <w:t>五、其他事项</w:t>
      </w:r>
    </w:p>
    <w:p w14:paraId="2ED8042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color w:val="000000"/>
          <w:kern w:val="2"/>
          <w:sz w:val="32"/>
          <w:szCs w:val="32"/>
          <w:lang w:val="en-US" w:eastAsia="zh-CN"/>
        </w:rPr>
      </w:pPr>
      <w:r>
        <w:rPr>
          <w:rFonts w:hint="eastAsia" w:ascii="仿宋_GB2312" w:hAnsi="仿宋_GB2312" w:eastAsia="仿宋_GB2312" w:cs="仿宋_GB2312"/>
          <w:b/>
          <w:bCs/>
          <w:color w:val="000000"/>
          <w:kern w:val="2"/>
          <w:sz w:val="32"/>
          <w:szCs w:val="32"/>
          <w:lang w:val="en-US" w:eastAsia="zh-CN"/>
        </w:rPr>
        <w:t>（一）报名事宜</w:t>
      </w:r>
    </w:p>
    <w:p w14:paraId="05887A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1.请尚未选派线下集中培训参训学员的相关高校</w:t>
      </w:r>
      <w:r>
        <w:rPr>
          <w:rFonts w:hint="eastAsia" w:ascii="仿宋_GB2312" w:hAnsi="仿宋_GB2312" w:eastAsia="仿宋_GB2312" w:cs="仿宋_GB2312"/>
          <w:color w:val="auto"/>
          <w:kern w:val="2"/>
          <w:sz w:val="32"/>
          <w:szCs w:val="32"/>
          <w:lang w:val="en-US" w:eastAsia="zh-CN"/>
        </w:rPr>
        <w:t>，于2026年10月8日前将《参训学员信息汇总表》</w:t>
      </w:r>
      <w:r>
        <w:rPr>
          <w:rFonts w:hint="eastAsia" w:ascii="仿宋_GB2312" w:hAnsi="仿宋_GB2312" w:eastAsia="仿宋_GB2312" w:cs="仿宋_GB2312"/>
          <w:color w:val="000000"/>
          <w:kern w:val="2"/>
          <w:sz w:val="32"/>
          <w:szCs w:val="32"/>
          <w:lang w:val="en-US" w:eastAsia="zh-CN"/>
        </w:rPr>
        <w:t>（word版及加盖学校公章的PDF版，详见附件1）发送至bm2＠naea.edu.cn，邮件主题以学校名称命名。已完成选派任务的高校，如无变更信息，请勿重复向指定邮箱提交参训学员信息汇总表。</w:t>
      </w:r>
    </w:p>
    <w:p w14:paraId="3921256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000000"/>
          <w:kern w:val="2"/>
          <w:sz w:val="32"/>
          <w:szCs w:val="32"/>
          <w:lang w:val="en-US" w:eastAsia="zh-CN"/>
        </w:rPr>
        <w:t>2.</w:t>
      </w:r>
      <w:r>
        <w:rPr>
          <w:rFonts w:hint="eastAsia" w:ascii="仿宋_GB2312" w:hAnsi="仿宋_GB2312" w:eastAsia="仿宋_GB2312" w:cs="仿宋_GB2312"/>
          <w:color w:val="auto"/>
          <w:sz w:val="32"/>
          <w:szCs w:val="32"/>
          <w:highlight w:val="none"/>
          <w:lang w:val="en-US" w:eastAsia="zh-CN"/>
        </w:rPr>
        <w:t>各高校近期提供的另一个线上培训项目（</w:t>
      </w:r>
      <w:r>
        <w:rPr>
          <w:rFonts w:hint="eastAsia" w:ascii="仿宋_GB2312" w:hAnsi="仿宋_GB2312" w:eastAsia="仿宋_GB2312" w:cs="仿宋_GB2312"/>
          <w:color w:val="auto"/>
          <w:sz w:val="32"/>
          <w:szCs w:val="32"/>
          <w:highlight w:val="none"/>
          <w:lang w:val="en-US" w:eastAsia="zh-CN" w:bidi="ar"/>
        </w:rPr>
        <w:t>“</w:t>
      </w:r>
      <w:r>
        <w:rPr>
          <w:rFonts w:hint="eastAsia" w:ascii="仿宋_GB2312" w:hAnsi="仿宋_GB2312" w:eastAsia="仿宋_GB2312" w:cs="仿宋_GB2312"/>
          <w:color w:val="auto"/>
          <w:sz w:val="32"/>
          <w:szCs w:val="32"/>
          <w:highlight w:val="none"/>
        </w:rPr>
        <w:t>2026年福建省高校教师人工智能素养提升专题网络培训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的所有</w:t>
      </w:r>
      <w:r>
        <w:rPr>
          <w:rFonts w:hint="eastAsia" w:ascii="仿宋_GB2312" w:hAnsi="仿宋_GB2312" w:eastAsia="仿宋_GB2312" w:cs="仿宋_GB2312"/>
          <w:color w:val="auto"/>
          <w:sz w:val="32"/>
          <w:szCs w:val="32"/>
          <w:highlight w:val="none"/>
          <w:lang w:eastAsia="zh-CN" w:bidi="ar"/>
        </w:rPr>
        <w:t>账号，</w:t>
      </w:r>
      <w:r>
        <w:rPr>
          <w:rFonts w:hint="eastAsia" w:ascii="仿宋_GB2312" w:hAnsi="仿宋_GB2312" w:eastAsia="仿宋_GB2312" w:cs="仿宋_GB2312"/>
          <w:color w:val="auto"/>
          <w:sz w:val="32"/>
          <w:szCs w:val="32"/>
          <w:highlight w:val="none"/>
          <w:lang w:val="en-US" w:eastAsia="zh-CN" w:bidi="ar"/>
        </w:rPr>
        <w:t>将继续作为</w:t>
      </w:r>
      <w:r>
        <w:rPr>
          <w:rFonts w:hint="eastAsia" w:ascii="仿宋_GB2312" w:hAnsi="仿宋_GB2312" w:eastAsia="仿宋_GB2312" w:cs="仿宋_GB2312"/>
          <w:color w:val="auto"/>
          <w:sz w:val="32"/>
          <w:szCs w:val="32"/>
          <w:highlight w:val="none"/>
          <w:lang w:val="en-US" w:eastAsia="zh-CN"/>
        </w:rPr>
        <w:t>本项目的线上研修账号</w:t>
      </w:r>
      <w:r>
        <w:rPr>
          <w:rFonts w:hint="eastAsia" w:ascii="仿宋_GB2312" w:hAnsi="仿宋_GB2312" w:eastAsia="仿宋_GB2312" w:cs="仿宋_GB2312"/>
          <w:color w:val="auto"/>
          <w:sz w:val="32"/>
          <w:szCs w:val="32"/>
          <w:highlight w:val="none"/>
          <w:lang w:val="en-US" w:eastAsia="zh-CN" w:bidi="ar"/>
        </w:rPr>
        <w:t>，各高校</w:t>
      </w:r>
      <w:r>
        <w:rPr>
          <w:rFonts w:hint="eastAsia" w:ascii="仿宋_GB2312" w:hAnsi="仿宋_GB2312" w:eastAsia="仿宋_GB2312" w:cs="仿宋_GB2312"/>
          <w:color w:val="auto"/>
          <w:sz w:val="32"/>
          <w:szCs w:val="32"/>
          <w:highlight w:val="none"/>
          <w:lang w:val="en-US" w:eastAsia="zh-CN"/>
        </w:rPr>
        <w:t>无需重复提交。各高校培训工作负责人和联系人要加强统筹协调与督促检查，定期了解学习进展，确保学习任务按时完成。线上研修结束后，我中心将依据平台数据对各高校学习完成情况进行汇总反馈。</w:t>
      </w:r>
    </w:p>
    <w:p w14:paraId="7AA68DE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3.请各高校通知线下参训人员及时扫描二维码（详见附件2）加入本项目线下培训群。</w:t>
      </w:r>
    </w:p>
    <w:p w14:paraId="2F9E116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t>（二）线下培训报到注意事项</w:t>
      </w:r>
    </w:p>
    <w:p w14:paraId="35EB143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1.线下培训报到时须提交盖有单位公章的《报名表》和身份证。入校时请出示培训通知（纸质版或电子版均可）。</w:t>
      </w:r>
    </w:p>
    <w:p w14:paraId="78D5D9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2.线下培训报到地点：国家教育行政学院，10月18日8:00-18:00报到。</w:t>
      </w:r>
    </w:p>
    <w:p w14:paraId="2F3F7A0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32"/>
          <w:szCs w:val="32"/>
          <w:lang w:val="en-US" w:eastAsia="zh-CN"/>
          <w14:textFill>
            <w14:solidFill>
              <w14:schemeClr w14:val="tx1"/>
            </w14:solidFill>
          </w14:textFill>
        </w:rPr>
        <w:t>（三）线上参训过程中如遇到问题，可通过以下方式咨询：</w:t>
      </w:r>
    </w:p>
    <w:p w14:paraId="0F7482F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参训学员在系统报名或线上学习过程中遇到技术问题，可拨打技术服务热线电话咨询：4008757650，服务时间：上午8:30- 12:00；13:00-22:00；周末及节假日照常值班；或通过平台登录后页面右侧的“平台操作咨询”窗口留言咨询。</w:t>
      </w:r>
    </w:p>
    <w:p w14:paraId="2E24196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color w:val="000000"/>
          <w:kern w:val="2"/>
          <w:sz w:val="32"/>
          <w:szCs w:val="32"/>
          <w:lang w:val="en-US" w:eastAsia="zh-CN"/>
        </w:rPr>
      </w:pPr>
      <w:r>
        <w:rPr>
          <w:rFonts w:hint="eastAsia" w:ascii="黑体" w:hAnsi="黑体" w:eastAsia="黑体" w:cs="黑体"/>
          <w:b w:val="0"/>
          <w:bCs w:val="0"/>
          <w:color w:val="000000"/>
          <w:kern w:val="2"/>
          <w:sz w:val="32"/>
          <w:szCs w:val="32"/>
          <w:lang w:val="en-US" w:eastAsia="zh-CN"/>
        </w:rPr>
        <w:t>（四）联系人及联系方式：</w:t>
      </w:r>
    </w:p>
    <w:p w14:paraId="6F6D95C8">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福建省高等学校师资培训中心联系人：林曦云老师</w:t>
      </w:r>
    </w:p>
    <w:p w14:paraId="1840745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联系电话：13805053927</w:t>
      </w:r>
    </w:p>
    <w:p w14:paraId="5C2E6D1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国家教育行政学院进修一部联系人：杨  志老师</w:t>
      </w:r>
    </w:p>
    <w:p w14:paraId="272C2CE8">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联系电话：010-69249169</w:t>
      </w:r>
    </w:p>
    <w:p w14:paraId="67D19966">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国家教育行政学院远程培训部联系人：林凯健老师</w:t>
      </w:r>
    </w:p>
    <w:p w14:paraId="5A6EFF5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联系电话：18601398100</w:t>
      </w:r>
    </w:p>
    <w:p w14:paraId="08E9967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b w:val="0"/>
          <w:color w:val="auto"/>
          <w:sz w:val="32"/>
          <w:lang w:val="en-US" w:eastAsia="zh-CN"/>
        </w:rPr>
      </w:pPr>
      <w:r>
        <w:rPr>
          <w:rFonts w:hint="eastAsia" w:ascii="黑体" w:hAnsi="黑体" w:eastAsia="黑体"/>
          <w:b w:val="0"/>
          <w:color w:val="auto"/>
          <w:sz w:val="32"/>
          <w:lang w:val="en-US" w:eastAsia="zh-CN"/>
        </w:rPr>
        <w:t>六、培训费用</w:t>
      </w:r>
    </w:p>
    <w:p w14:paraId="0991ECC7">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auto"/>
          <w:kern w:val="2"/>
          <w:sz w:val="32"/>
          <w:szCs w:val="32"/>
          <w:lang w:val="en-US" w:eastAsia="zh-CN"/>
        </w:rPr>
        <w:t>本次培训由省教育厅委托国家教育行政学院承办，福建省高等学校师资培训中心协助组织实施。培训期间的食宿、师资、场</w:t>
      </w:r>
      <w:r>
        <w:rPr>
          <w:rFonts w:hint="eastAsia" w:ascii="仿宋_GB2312" w:hAnsi="仿宋_GB2312" w:eastAsia="仿宋_GB2312" w:cs="仿宋_GB2312"/>
          <w:color w:val="000000"/>
          <w:kern w:val="2"/>
          <w:sz w:val="32"/>
          <w:szCs w:val="32"/>
          <w:lang w:val="en-US" w:eastAsia="zh-CN"/>
        </w:rPr>
        <w:t>地及网络课程费用由省教育厅拨付，参训人员往返交通费用及差旅补助由派出高校按规定承担。</w:t>
      </w:r>
    </w:p>
    <w:p w14:paraId="0DC334B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附件：</w:t>
      </w:r>
    </w:p>
    <w:p w14:paraId="1325B86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958" w:leftChars="266" w:hanging="320" w:hangingChars="100"/>
        <w:textAlignment w:val="auto"/>
        <w:rPr>
          <w:rFonts w:hint="eastAsia" w:ascii="仿宋_GB2312" w:hAnsi="仿宋_GB2312" w:eastAsia="仿宋_GB2312" w:cs="仿宋_GB2312"/>
          <w:color w:val="FFC000"/>
          <w:kern w:val="2"/>
          <w:sz w:val="32"/>
          <w:szCs w:val="32"/>
          <w:lang w:val="en-US" w:eastAsia="zh-CN"/>
        </w:rPr>
      </w:pPr>
      <w:r>
        <w:rPr>
          <w:rFonts w:hint="eastAsia" w:ascii="仿宋_GB2312" w:hAnsi="仿宋_GB2312" w:eastAsia="仿宋_GB2312" w:cs="仿宋_GB2312"/>
          <w:color w:val="auto"/>
          <w:kern w:val="2"/>
          <w:sz w:val="32"/>
          <w:szCs w:val="32"/>
          <w:lang w:val="en-US" w:eastAsia="zh-CN"/>
        </w:rPr>
        <w:t>1.</w:t>
      </w:r>
      <w:r>
        <w:rPr>
          <w:rFonts w:hint="eastAsia" w:ascii="仿宋_GB2312" w:hAnsi="仿宋_GB2312" w:eastAsia="仿宋_GB2312" w:cs="仿宋_GB2312"/>
          <w:color w:val="auto"/>
          <w:kern w:val="2"/>
          <w:sz w:val="30"/>
          <w:szCs w:val="30"/>
          <w:lang w:val="en-US" w:eastAsia="zh-CN"/>
        </w:rPr>
        <w:t>2026年福建省高校师德师风建设专题培训班参训学员信息表</w:t>
      </w:r>
    </w:p>
    <w:p w14:paraId="33F20B1F">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2.培训群微信二维码</w:t>
      </w:r>
    </w:p>
    <w:p w14:paraId="2BA4D801">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3.线上学习平台学员操作手册</w:t>
      </w:r>
    </w:p>
    <w:p w14:paraId="3CDE676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5D8763B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3F01F32F">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480" w:firstLineChars="14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福建省高等学校师资培训中心</w:t>
      </w:r>
    </w:p>
    <w:p w14:paraId="138D9205">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5440" w:firstLineChars="1700"/>
        <w:textAlignment w:val="auto"/>
        <w:rPr>
          <w:rFonts w:hint="default"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2026年9月24日</w:t>
      </w:r>
    </w:p>
    <w:p w14:paraId="4B442FA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30D54BF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668D924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1C88D76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0156B23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2F08102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4027C9B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30C9D1C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38CA206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2570F9C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4568A43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0B0BF28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default" w:ascii="仿宋_GB2312" w:hAnsi="仿宋_GB2312" w:eastAsia="仿宋_GB2312" w:cs="仿宋_GB2312"/>
          <w:color w:val="000000"/>
          <w:kern w:val="2"/>
          <w:sz w:val="32"/>
          <w:szCs w:val="32"/>
          <w:lang w:val="en-US" w:eastAsia="zh-CN"/>
        </w:rPr>
      </w:pPr>
    </w:p>
    <w:p w14:paraId="59DCD9F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0" w:firstLineChars="0"/>
        <w:jc w:val="both"/>
        <w:textAlignment w:val="auto"/>
        <w:rPr>
          <w:rFonts w:hint="default" w:ascii="仿宋_GB2312" w:hAnsi="仿宋_GB2312" w:eastAsia="仿宋_GB2312" w:cs="仿宋_GB2312"/>
          <w:color w:val="FFC000"/>
          <w:kern w:val="2"/>
          <w:sz w:val="32"/>
          <w:szCs w:val="32"/>
          <w:lang w:val="en-US" w:eastAsia="zh-CN"/>
        </w:rPr>
      </w:pPr>
      <w:r>
        <w:rPr>
          <w:rFonts w:hint="default" w:ascii="仿宋_GB2312" w:hAnsi="宋体" w:eastAsia="仿宋_GB2312" w:cs="仿宋_GB2312"/>
          <w:color w:val="000000"/>
          <w:kern w:val="2"/>
          <w:sz w:val="32"/>
          <w:szCs w:val="32"/>
          <w:lang w:val="en-US" w:eastAsia="zh-CN" w:bidi="ar"/>
          <w:woUserID w:val="1"/>
        </w:rPr>
        <w:t>抄送：福建省教育厅教师工作处</w:t>
      </w:r>
    </w:p>
    <w:p w14:paraId="60853C68">
      <w:pPr>
        <w:keepNext w:val="0"/>
        <w:keepLines w:val="0"/>
        <w:pageBreakBefore w:val="0"/>
        <w:widowControl w:val="0"/>
        <w:pBdr>
          <w:top w:val="single" w:color="auto" w:sz="6" w:space="1"/>
          <w:bottom w:val="single" w:color="auto" w:sz="6" w:space="1"/>
        </w:pBdr>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仿宋_GB2312" w:hAnsi="仿宋_GB2312" w:eastAsia="仿宋_GB2312" w:cs="仿宋_GB2312"/>
          <w:color w:val="auto"/>
          <w:kern w:val="2"/>
          <w:sz w:val="32"/>
          <w:szCs w:val="32"/>
          <w:lang w:val="en-US" w:eastAsia="zh-CN"/>
        </w:rPr>
      </w:pPr>
      <w:r>
        <w:rPr>
          <w:rFonts w:hint="eastAsia" w:ascii="仿宋_GB2312" w:hAnsi="宋体" w:eastAsia="仿宋_GB2312"/>
          <w:sz w:val="32"/>
          <w:szCs w:val="32"/>
        </w:rPr>
        <w:t xml:space="preserve">福建省高等学校师资培训中心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 </w:t>
      </w:r>
      <w:r>
        <w:rPr>
          <w:rFonts w:hint="eastAsia" w:ascii="仿宋_GB2312" w:hAnsi="宋体" w:eastAsia="仿宋_GB2312"/>
          <w:color w:val="FF0000"/>
          <w:sz w:val="32"/>
          <w:szCs w:val="32"/>
        </w:rPr>
        <w:t xml:space="preserve"> </w:t>
      </w:r>
      <w:r>
        <w:rPr>
          <w:rFonts w:hint="eastAsia" w:ascii="仿宋_GB2312" w:hAnsi="宋体" w:eastAsia="仿宋_GB2312"/>
          <w:color w:val="auto"/>
          <w:sz w:val="32"/>
          <w:szCs w:val="32"/>
        </w:rPr>
        <w:t>2026年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24</w:t>
      </w:r>
      <w:r>
        <w:rPr>
          <w:rFonts w:hint="eastAsia" w:ascii="仿宋_GB2312" w:hAnsi="宋体" w:eastAsia="仿宋_GB2312"/>
          <w:color w:val="auto"/>
          <w:sz w:val="32"/>
          <w:szCs w:val="32"/>
        </w:rPr>
        <w:t>日印发</w:t>
      </w:r>
    </w:p>
    <w:p w14:paraId="2834E3A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附件1</w:t>
      </w:r>
    </w:p>
    <w:p w14:paraId="682E695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658F87E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eastAsia" w:ascii="黑体" w:hAnsi="黑体" w:eastAsia="黑体" w:cs="黑体"/>
          <w:color w:val="000000"/>
          <w:kern w:val="2"/>
          <w:sz w:val="36"/>
          <w:szCs w:val="36"/>
          <w:lang w:val="en-US" w:eastAsia="zh-CN"/>
        </w:rPr>
      </w:pPr>
      <w:r>
        <w:rPr>
          <w:rFonts w:hint="eastAsia" w:ascii="黑体" w:hAnsi="黑体" w:eastAsia="黑体" w:cs="黑体"/>
          <w:color w:val="000000"/>
          <w:kern w:val="2"/>
          <w:sz w:val="36"/>
          <w:szCs w:val="36"/>
          <w:lang w:val="en-US" w:eastAsia="zh-CN"/>
        </w:rPr>
        <w:t>2026年福建省高校师德师风建设专题培训班</w:t>
      </w:r>
    </w:p>
    <w:p w14:paraId="12423FB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eastAsia" w:ascii="黑体" w:hAnsi="黑体" w:eastAsia="黑体" w:cs="黑体"/>
          <w:color w:val="000000"/>
          <w:kern w:val="2"/>
          <w:sz w:val="36"/>
          <w:szCs w:val="36"/>
          <w:lang w:val="en-US" w:eastAsia="zh-CN"/>
        </w:rPr>
      </w:pPr>
      <w:r>
        <w:rPr>
          <w:rFonts w:hint="eastAsia" w:ascii="黑体" w:hAnsi="黑体" w:eastAsia="黑体" w:cs="黑体"/>
          <w:color w:val="000000"/>
          <w:kern w:val="2"/>
          <w:sz w:val="36"/>
          <w:szCs w:val="36"/>
          <w:lang w:val="en-US" w:eastAsia="zh-CN"/>
        </w:rPr>
        <w:t>参训学员信息汇总表</w:t>
      </w:r>
    </w:p>
    <w:p w14:paraId="4B347B9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p>
    <w:p w14:paraId="711F07B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选派高校：                   （盖章）</w:t>
      </w:r>
    </w:p>
    <w:p w14:paraId="7E7323F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 xml:space="preserve">联系人：                     手机号码：  </w:t>
      </w:r>
    </w:p>
    <w:tbl>
      <w:tblPr>
        <w:tblStyle w:val="22"/>
        <w:tblW w:w="9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365"/>
        <w:gridCol w:w="1500"/>
        <w:gridCol w:w="2955"/>
        <w:gridCol w:w="2086"/>
      </w:tblGrid>
      <w:tr w14:paraId="4772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 w:type="dxa"/>
            <w:shd w:val="clear" w:color="auto" w:fill="auto"/>
            <w:vAlign w:val="center"/>
          </w:tcPr>
          <w:p w14:paraId="54819AB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培训项目</w:t>
            </w:r>
          </w:p>
          <w:p w14:paraId="23256C4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名称</w:t>
            </w:r>
          </w:p>
        </w:tc>
        <w:tc>
          <w:tcPr>
            <w:tcW w:w="1365" w:type="dxa"/>
            <w:shd w:val="clear" w:color="auto" w:fill="auto"/>
            <w:vAlign w:val="center"/>
          </w:tcPr>
          <w:p w14:paraId="3B1B0CC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选派高校</w:t>
            </w:r>
          </w:p>
        </w:tc>
        <w:tc>
          <w:tcPr>
            <w:tcW w:w="1500" w:type="dxa"/>
            <w:shd w:val="clear" w:color="auto" w:fill="auto"/>
            <w:vAlign w:val="center"/>
          </w:tcPr>
          <w:p w14:paraId="66623E2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参训教师姓名</w:t>
            </w:r>
          </w:p>
        </w:tc>
        <w:tc>
          <w:tcPr>
            <w:tcW w:w="2955" w:type="dxa"/>
            <w:vAlign w:val="center"/>
          </w:tcPr>
          <w:p w14:paraId="03F2313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参训教师</w:t>
            </w:r>
          </w:p>
          <w:p w14:paraId="488EDBB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身份证号码</w:t>
            </w:r>
          </w:p>
        </w:tc>
        <w:tc>
          <w:tcPr>
            <w:tcW w:w="2086" w:type="dxa"/>
            <w:vAlign w:val="center"/>
          </w:tcPr>
          <w:p w14:paraId="76223B8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参训教师</w:t>
            </w:r>
          </w:p>
          <w:p w14:paraId="01EE34F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手机号码</w:t>
            </w:r>
          </w:p>
        </w:tc>
      </w:tr>
      <w:tr w14:paraId="42A0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 w:type="dxa"/>
            <w:shd w:val="clear" w:color="auto" w:fill="auto"/>
            <w:vAlign w:val="top"/>
          </w:tcPr>
          <w:p w14:paraId="46957A0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1365" w:type="dxa"/>
            <w:shd w:val="clear" w:color="auto" w:fill="auto"/>
            <w:vAlign w:val="top"/>
          </w:tcPr>
          <w:p w14:paraId="586FCE0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1500" w:type="dxa"/>
            <w:shd w:val="clear" w:color="auto" w:fill="auto"/>
            <w:vAlign w:val="top"/>
          </w:tcPr>
          <w:p w14:paraId="22A9543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2955" w:type="dxa"/>
          </w:tcPr>
          <w:p w14:paraId="6644376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c>
          <w:tcPr>
            <w:tcW w:w="2086" w:type="dxa"/>
          </w:tcPr>
          <w:p w14:paraId="30F5EC0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仿宋_GB2312" w:hAnsi="仿宋_GB2312" w:eastAsia="仿宋_GB2312" w:cs="仿宋_GB2312"/>
                <w:color w:val="000000"/>
                <w:kern w:val="2"/>
                <w:sz w:val="28"/>
                <w:szCs w:val="28"/>
                <w:lang w:val="en-US" w:eastAsia="zh-CN"/>
              </w:rPr>
            </w:pPr>
            <w:r>
              <w:rPr>
                <w:rFonts w:hint="eastAsia" w:ascii="仿宋_GB2312" w:hAnsi="仿宋_GB2312" w:eastAsia="仿宋_GB2312" w:cs="仿宋_GB2312"/>
                <w:color w:val="000000"/>
                <w:kern w:val="2"/>
                <w:sz w:val="28"/>
                <w:szCs w:val="28"/>
                <w:lang w:val="en-US" w:eastAsia="zh-CN"/>
              </w:rPr>
              <w:t>***********</w:t>
            </w:r>
          </w:p>
        </w:tc>
      </w:tr>
      <w:tr w14:paraId="36D6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 w:type="dxa"/>
            <w:shd w:val="clear" w:color="auto" w:fill="auto"/>
            <w:vAlign w:val="top"/>
          </w:tcPr>
          <w:p w14:paraId="6E7F133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1365" w:type="dxa"/>
            <w:shd w:val="clear" w:color="auto" w:fill="auto"/>
            <w:vAlign w:val="top"/>
          </w:tcPr>
          <w:p w14:paraId="6962D62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1500" w:type="dxa"/>
            <w:shd w:val="clear" w:color="auto" w:fill="auto"/>
            <w:vAlign w:val="top"/>
          </w:tcPr>
          <w:p w14:paraId="2859A89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2955" w:type="dxa"/>
            <w:vAlign w:val="top"/>
          </w:tcPr>
          <w:p w14:paraId="4EBD8D0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c>
          <w:tcPr>
            <w:tcW w:w="2086" w:type="dxa"/>
            <w:vAlign w:val="top"/>
          </w:tcPr>
          <w:p w14:paraId="37DA99D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仿宋_GB2312" w:hAnsi="仿宋_GB2312" w:eastAsia="仿宋_GB2312" w:cs="仿宋_GB2312"/>
                <w:color w:val="000000"/>
                <w:kern w:val="2"/>
                <w:sz w:val="28"/>
                <w:szCs w:val="28"/>
                <w:lang w:val="en-US" w:eastAsia="zh-CN"/>
              </w:rPr>
            </w:pPr>
          </w:p>
        </w:tc>
      </w:tr>
    </w:tbl>
    <w:p w14:paraId="75C0380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color w:val="000000"/>
          <w:kern w:val="2"/>
          <w:sz w:val="32"/>
          <w:szCs w:val="32"/>
          <w:lang w:val="en-US" w:eastAsia="zh-CN"/>
        </w:rPr>
      </w:pPr>
    </w:p>
    <w:p w14:paraId="085C602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备 注 ：</w:t>
      </w:r>
    </w:p>
    <w:p w14:paraId="37DB01E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auto"/>
          <w:kern w:val="2"/>
          <w:sz w:val="32"/>
          <w:szCs w:val="32"/>
          <w:lang w:val="en-US" w:eastAsia="zh-CN"/>
        </w:rPr>
        <w:t>请尚未选派参训学员的相关高校于2026年10月8日前将</w:t>
      </w:r>
      <w:r>
        <w:rPr>
          <w:rFonts w:hint="eastAsia" w:ascii="仿宋_GB2312" w:hAnsi="仿宋_GB2312" w:eastAsia="仿宋_GB2312" w:cs="仿宋_GB2312"/>
          <w:color w:val="000000"/>
          <w:kern w:val="2"/>
          <w:sz w:val="32"/>
          <w:szCs w:val="32"/>
          <w:lang w:val="en-US" w:eastAsia="zh-CN"/>
        </w:rPr>
        <w:t>《参训学员信息汇总表》（word版及加盖学校公章的PDF版）发送至bm2＠naea.edu.cn，邮件主题以学校名称命名。已完成选派任务的高校，如无变更信息，请勿重复向指定邮箱提交参训学员信息汇总表。</w:t>
      </w:r>
    </w:p>
    <w:p w14:paraId="565217C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783F5C1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3223576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default" w:ascii="仿宋_GB2312" w:hAnsi="仿宋_GB2312" w:eastAsia="仿宋_GB2312" w:cs="仿宋_GB2312"/>
          <w:color w:val="000000"/>
          <w:kern w:val="2"/>
          <w:sz w:val="32"/>
          <w:szCs w:val="32"/>
          <w:lang w:val="en-US" w:eastAsia="zh-CN"/>
        </w:rPr>
      </w:pPr>
    </w:p>
    <w:p w14:paraId="4F10808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default" w:ascii="仿宋_GB2312" w:hAnsi="仿宋_GB2312" w:eastAsia="仿宋_GB2312" w:cs="仿宋_GB2312"/>
          <w:color w:val="000000"/>
          <w:kern w:val="2"/>
          <w:sz w:val="32"/>
          <w:szCs w:val="32"/>
          <w:lang w:val="en-US" w:eastAsia="zh-CN"/>
        </w:rPr>
      </w:pPr>
    </w:p>
    <w:p w14:paraId="1D22098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eastAsia" w:ascii="仿宋_GB2312" w:hAnsi="仿宋_GB2312" w:eastAsia="仿宋_GB2312" w:cs="仿宋_GB2312"/>
          <w:color w:val="000000"/>
          <w:kern w:val="2"/>
          <w:sz w:val="32"/>
          <w:szCs w:val="32"/>
          <w:lang w:val="en-US" w:eastAsia="zh-CN"/>
        </w:rPr>
      </w:pPr>
    </w:p>
    <w:p w14:paraId="7EDB135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 xml:space="preserve">附件2  </w:t>
      </w:r>
    </w:p>
    <w:p w14:paraId="1BE6B23F">
      <w:pPr>
        <w:pStyle w:val="7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培训群微信二维码</w:t>
      </w:r>
    </w:p>
    <w:p w14:paraId="416801F7">
      <w:pPr>
        <w:pStyle w:val="7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（进群请备注校名+姓名）</w:t>
      </w:r>
    </w:p>
    <w:p w14:paraId="2CF7C1B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drawing>
          <wp:inline distT="0" distB="0" distL="114300" distR="114300">
            <wp:extent cx="4918710" cy="6062345"/>
            <wp:effectExtent l="0" t="0" r="15240" b="14605"/>
            <wp:docPr id="2" name="图片 2" descr="e48ca9b19bba5316bfd6ec07e36949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48ca9b19bba5316bfd6ec07e36949e1"/>
                    <pic:cNvPicPr>
                      <a:picLocks noChangeAspect="1"/>
                    </pic:cNvPicPr>
                  </pic:nvPicPr>
                  <pic:blipFill>
                    <a:blip r:embed="rId7"/>
                    <a:stretch>
                      <a:fillRect/>
                    </a:stretch>
                  </pic:blipFill>
                  <pic:spPr>
                    <a:xfrm>
                      <a:off x="0" y="0"/>
                      <a:ext cx="4918710" cy="6062345"/>
                    </a:xfrm>
                    <a:prstGeom prst="rect">
                      <a:avLst/>
                    </a:prstGeom>
                  </pic:spPr>
                </pic:pic>
              </a:graphicData>
            </a:graphic>
          </wp:inline>
        </w:drawing>
      </w:r>
    </w:p>
    <w:p w14:paraId="48500C47">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textAlignment w:val="auto"/>
        <w:rPr>
          <w:rFonts w:hint="default" w:ascii="仿宋_GB2312" w:hAnsi="仿宋_GB2312" w:eastAsia="仿宋_GB2312" w:cs="仿宋_GB2312"/>
          <w:color w:val="000000"/>
          <w:kern w:val="2"/>
          <w:sz w:val="32"/>
          <w:szCs w:val="32"/>
          <w:lang w:val="en-US" w:eastAsia="zh-CN"/>
        </w:rPr>
      </w:pPr>
    </w:p>
    <w:sectPr>
      <w:footerReference r:id="rId5" w:type="default"/>
      <w:pgMar w:top="1417" w:right="1701" w:bottom="1417"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51ED7">
    <w:pPr>
      <w:spacing w:line="172" w:lineRule="auto"/>
      <w:ind w:left="320"/>
      <w:rPr>
        <w:rFonts w:ascii="宋体" w:hAnsi="宋体" w:eastAsia="宋体" w:cs="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52E3C">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C52E3C">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firstLine="480"/>
      </w:pPr>
      <w:r>
        <w:separator/>
      </w:r>
    </w:p>
  </w:footnote>
  <w:footnote w:type="continuationSeparator" w:id="1">
    <w:p>
      <w:pPr>
        <w:spacing w:before="0" w:after="0"/>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AA8454"/>
    <w:multiLevelType w:val="multilevel"/>
    <w:tmpl w:val="29AA8454"/>
    <w:lvl w:ilvl="0" w:tentative="0">
      <w:start w:val="1"/>
      <w:numFmt w:val="chineseCounting"/>
      <w:suff w:val="nothing"/>
      <w:lvlText w:val="%1、"/>
      <w:lvlJc w:val="left"/>
      <w:pPr>
        <w:tabs>
          <w:tab w:val="left" w:pos="0"/>
        </w:tabs>
        <w:ind w:left="0" w:firstLine="0"/>
      </w:pPr>
      <w:rPr>
        <w:rFonts w:hint="eastAsia" w:ascii="黑体" w:hAnsi="黑体" w:eastAsia="黑体"/>
      </w:rPr>
    </w:lvl>
    <w:lvl w:ilvl="1" w:tentative="0">
      <w:start w:val="1"/>
      <w:numFmt w:val="chineseCounting"/>
      <w:suff w:val="nothing"/>
      <w:lvlText w:val="（%2）"/>
      <w:lvlJc w:val="left"/>
      <w:pPr>
        <w:tabs>
          <w:tab w:val="left" w:pos="0"/>
        </w:tabs>
        <w:ind w:left="0" w:firstLine="0"/>
      </w:pPr>
      <w:rPr>
        <w:rFonts w:hint="eastAsia" w:ascii="黑体" w:hAnsi="黑体" w:eastAsia="黑体"/>
      </w:rPr>
    </w:lvl>
    <w:lvl w:ilvl="2" w:tentative="0">
      <w:start w:val="1"/>
      <w:numFmt w:val="decimal"/>
      <w:suff w:val="nothing"/>
      <w:lvlText w:val="%3．"/>
      <w:lvlJc w:val="left"/>
      <w:pPr>
        <w:tabs>
          <w:tab w:val="left" w:pos="0"/>
        </w:tabs>
        <w:ind w:left="0" w:firstLine="400"/>
      </w:pPr>
      <w:rPr>
        <w:rFonts w:hint="eastAsia" w:ascii="黑体" w:hAnsi="黑体" w:eastAsia="黑体"/>
      </w:rPr>
    </w:lvl>
    <w:lvl w:ilvl="3" w:tentative="0">
      <w:start w:val="1"/>
      <w:numFmt w:val="decimal"/>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7"/>
      <w:suff w:val="nothing"/>
      <w:lvlText w:val="%5"/>
      <w:lvlJc w:val="left"/>
      <w:pPr>
        <w:tabs>
          <w:tab w:val="left" w:pos="0"/>
        </w:tabs>
        <w:ind w:left="0" w:firstLine="402"/>
      </w:pPr>
      <w:rPr>
        <w:rFonts w:hint="eastAsia" w:ascii="黑体" w:hAnsi="黑体" w:eastAsia="黑体"/>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1">
    <w:nsid w:val="5EA8B514"/>
    <w:multiLevelType w:val="singleLevel"/>
    <w:tmpl w:val="5EA8B514"/>
    <w:lvl w:ilvl="0" w:tentative="0">
      <w:start w:val="1"/>
      <w:numFmt w:val="chineseCounting"/>
      <w:suff w:val="nothing"/>
      <w:lvlText w:val="%1、"/>
      <w:lvlJc w:val="left"/>
      <w:rPr>
        <w:rFonts w:hint="eastAsia" w:ascii="黑体" w:hAnsi="黑体" w:eastAsia="黑体" w:cs="黑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drawingGridHorizontalSpacing w:val="360"/>
  <w:drawingGridVerticalSpacing w:val="36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130A9"/>
    <w:rsid w:val="03F4380B"/>
    <w:rsid w:val="04E50B95"/>
    <w:rsid w:val="1BC51582"/>
    <w:rsid w:val="1C116575"/>
    <w:rsid w:val="1D631052"/>
    <w:rsid w:val="235B63FB"/>
    <w:rsid w:val="2DAD0547"/>
    <w:rsid w:val="319522DB"/>
    <w:rsid w:val="361C69E3"/>
    <w:rsid w:val="3C3875B2"/>
    <w:rsid w:val="4C1D6005"/>
    <w:rsid w:val="551E5284"/>
    <w:rsid w:val="58F702C5"/>
    <w:rsid w:val="66DD08BE"/>
    <w:rsid w:val="6994390F"/>
    <w:rsid w:val="6B0F5F39"/>
    <w:rsid w:val="6F2968A7"/>
    <w:rsid w:val="70CA7F9E"/>
    <w:rsid w:val="734C5DE9"/>
    <w:rsid w:val="77DF58D9"/>
    <w:rsid w:val="77F24161"/>
    <w:rsid w:val="7A74131E"/>
    <w:rsid w:val="7C6B6751"/>
  </w:rsids>
  <m:mathPr>
    <m:mathFont m:val="Cambria Math"/>
    <m:brkBin m:val="before"/>
    <m:brkBinSub m:val="--"/>
    <m:smallFrac m:val="0"/>
    <m:dispDef/>
    <m:lMargin m:val="0"/>
    <m:rMargin m:val="0"/>
    <m:defJc m:val="centerGroup"/>
    <m:wrapRight m:val="1"/>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ind w:firstLine="560" w:firstLineChars="200"/>
      <w:jc w:val="both"/>
    </w:pPr>
    <w:rPr>
      <w:rFonts w:ascii="微软雅黑" w:hAnsi="微软雅黑" w:eastAsia="微软雅黑" w:cstheme="minorBidi"/>
      <w:sz w:val="24"/>
      <w:szCs w:val="24"/>
      <w:lang w:val="en-US" w:eastAsia="en-US" w:bidi="ar-SA"/>
    </w:rPr>
  </w:style>
  <w:style w:type="paragraph" w:styleId="2">
    <w:name w:val="heading 1"/>
    <w:basedOn w:val="1"/>
    <w:next w:val="3"/>
    <w:qFormat/>
    <w:uiPriority w:val="9"/>
    <w:pPr>
      <w:keepNext/>
      <w:keepLines/>
      <w:numPr>
        <w:ilvl w:val="0"/>
        <w:numId w:val="0"/>
      </w:numPr>
      <w:tabs>
        <w:tab w:val="left" w:pos="0"/>
      </w:tabs>
      <w:spacing w:before="480" w:after="0"/>
      <w:jc w:val="center"/>
      <w:outlineLvl w:val="0"/>
    </w:pPr>
    <w:rPr>
      <w:rFonts w:cstheme="majorBidi"/>
      <w:b/>
      <w:bCs/>
      <w:color w:val="auto"/>
      <w:sz w:val="32"/>
      <w:szCs w:val="32"/>
    </w:rPr>
  </w:style>
  <w:style w:type="paragraph" w:styleId="4">
    <w:name w:val="heading 2"/>
    <w:next w:val="3"/>
    <w:link w:val="77"/>
    <w:unhideWhenUsed/>
    <w:qFormat/>
    <w:uiPriority w:val="9"/>
    <w:pPr>
      <w:keepNext/>
      <w:keepLines/>
      <w:numPr>
        <w:ilvl w:val="1"/>
        <w:numId w:val="0"/>
      </w:numPr>
      <w:tabs>
        <w:tab w:val="left" w:pos="0"/>
      </w:tabs>
      <w:spacing w:after="0"/>
      <w:outlineLvl w:val="1"/>
    </w:pPr>
    <w:rPr>
      <w:rFonts w:ascii="Times New Roman" w:hAnsi="Times New Roman" w:eastAsia="宋体" w:cstheme="majorBidi"/>
      <w:b/>
      <w:bCs/>
      <w:color w:val="auto"/>
      <w:sz w:val="28"/>
      <w:szCs w:val="28"/>
    </w:rPr>
  </w:style>
  <w:style w:type="paragraph" w:styleId="5">
    <w:name w:val="heading 3"/>
    <w:basedOn w:val="1"/>
    <w:next w:val="3"/>
    <w:unhideWhenUsed/>
    <w:qFormat/>
    <w:uiPriority w:val="9"/>
    <w:pPr>
      <w:keepNext/>
      <w:keepLines/>
      <w:numPr>
        <w:ilvl w:val="2"/>
        <w:numId w:val="0"/>
      </w:numPr>
      <w:tabs>
        <w:tab w:val="left" w:pos="0"/>
      </w:tabs>
      <w:spacing w:before="200" w:after="0"/>
      <w:ind w:firstLine="0"/>
      <w:outlineLvl w:val="2"/>
    </w:pPr>
    <w:rPr>
      <w:rFonts w:ascii="微软雅黑" w:hAnsi="微软雅黑" w:eastAsia="微软雅黑" w:cstheme="majorBidi"/>
      <w:b/>
      <w:bCs/>
      <w:color w:val="auto"/>
    </w:rPr>
  </w:style>
  <w:style w:type="paragraph" w:styleId="6">
    <w:name w:val="heading 4"/>
    <w:basedOn w:val="1"/>
    <w:next w:val="3"/>
    <w:unhideWhenUsed/>
    <w:qFormat/>
    <w:uiPriority w:val="9"/>
    <w:pPr>
      <w:keepNext/>
      <w:keepLines/>
      <w:numPr>
        <w:ilvl w:val="3"/>
        <w:numId w:val="0"/>
      </w:numPr>
      <w:tabs>
        <w:tab w:val="left" w:pos="0"/>
      </w:tabs>
      <w:spacing w:before="200" w:after="0"/>
      <w:ind w:firstLine="402"/>
      <w:outlineLvl w:val="3"/>
    </w:pPr>
    <w:rPr>
      <w:rFonts w:ascii="微软雅黑" w:hAnsi="微软雅黑" w:eastAsia="微软雅黑" w:cstheme="majorBidi"/>
      <w:bCs/>
      <w:i/>
      <w:color w:val="auto"/>
    </w:rPr>
  </w:style>
  <w:style w:type="paragraph" w:styleId="7">
    <w:name w:val="heading 5"/>
    <w:basedOn w:val="1"/>
    <w:next w:val="3"/>
    <w:unhideWhenUsed/>
    <w:qFormat/>
    <w:uiPriority w:val="9"/>
    <w:pPr>
      <w:keepNext/>
      <w:keepLines/>
      <w:numPr>
        <w:ilvl w:val="4"/>
        <w:numId w:val="1"/>
      </w:numPr>
      <w:spacing w:before="200" w:after="0"/>
      <w:ind w:firstLine="402"/>
      <w:outlineLvl w:val="4"/>
    </w:pPr>
    <w:rPr>
      <w:rFonts w:ascii="微软雅黑" w:hAnsi="微软雅黑" w:eastAsia="微软雅黑" w:cstheme="majorBidi"/>
      <w:iCs/>
      <w:color w:val="auto"/>
    </w:rPr>
  </w:style>
  <w:style w:type="paragraph" w:styleId="8">
    <w:name w:val="heading 6"/>
    <w:basedOn w:val="1"/>
    <w:next w:val="3"/>
    <w:unhideWhenUsed/>
    <w:qFormat/>
    <w:uiPriority w:val="9"/>
    <w:pPr>
      <w:keepNext/>
      <w:keepLines/>
      <w:numPr>
        <w:ilvl w:val="5"/>
        <w:numId w:val="1"/>
      </w:numPr>
      <w:spacing w:before="200" w:after="0"/>
      <w:ind w:firstLine="402"/>
      <w:outlineLvl w:val="5"/>
    </w:pPr>
    <w:rPr>
      <w:rFonts w:ascii="微软雅黑" w:hAnsi="微软雅黑" w:eastAsia="微软雅黑" w:cstheme="majorBidi"/>
      <w:color w:val="auto"/>
    </w:rPr>
  </w:style>
  <w:style w:type="paragraph" w:styleId="9">
    <w:name w:val="heading 7"/>
    <w:basedOn w:val="1"/>
    <w:next w:val="3"/>
    <w:unhideWhenUsed/>
    <w:qFormat/>
    <w:uiPriority w:val="9"/>
    <w:pPr>
      <w:keepNext/>
      <w:keepLines/>
      <w:numPr>
        <w:ilvl w:val="6"/>
        <w:numId w:val="1"/>
      </w:numPr>
      <w:spacing w:before="200" w:after="0"/>
      <w:ind w:firstLine="402"/>
      <w:outlineLvl w:val="6"/>
    </w:pPr>
    <w:rPr>
      <w:rFonts w:ascii="微软雅黑" w:hAnsi="微软雅黑" w:eastAsia="微软雅黑" w:cstheme="majorBidi"/>
      <w:color w:val="auto"/>
    </w:rPr>
  </w:style>
  <w:style w:type="paragraph" w:styleId="10">
    <w:name w:val="heading 8"/>
    <w:basedOn w:val="1"/>
    <w:next w:val="3"/>
    <w:unhideWhenUsed/>
    <w:qFormat/>
    <w:uiPriority w:val="9"/>
    <w:pPr>
      <w:keepNext/>
      <w:keepLines/>
      <w:numPr>
        <w:ilvl w:val="7"/>
        <w:numId w:val="1"/>
      </w:numPr>
      <w:spacing w:before="200" w:after="0"/>
      <w:ind w:firstLine="402"/>
      <w:outlineLvl w:val="7"/>
    </w:pPr>
    <w:rPr>
      <w:rFonts w:ascii="微软雅黑" w:hAnsi="微软雅黑" w:eastAsia="微软雅黑" w:cstheme="majorBidi"/>
      <w:color w:val="auto"/>
    </w:rPr>
  </w:style>
  <w:style w:type="paragraph" w:styleId="11">
    <w:name w:val="heading 9"/>
    <w:basedOn w:val="1"/>
    <w:next w:val="3"/>
    <w:unhideWhenUsed/>
    <w:qFormat/>
    <w:uiPriority w:val="9"/>
    <w:pPr>
      <w:keepNext/>
      <w:keepLines/>
      <w:numPr>
        <w:ilvl w:val="8"/>
        <w:numId w:val="1"/>
      </w:numPr>
      <w:spacing w:before="200" w:after="0"/>
      <w:ind w:firstLine="402"/>
      <w:outlineLvl w:val="8"/>
    </w:pPr>
    <w:rPr>
      <w:rFonts w:ascii="微软雅黑" w:hAnsi="微软雅黑" w:eastAsia="微软雅黑" w:cstheme="majorBidi"/>
      <w:color w:val="auto"/>
    </w:rPr>
  </w:style>
  <w:style w:type="character" w:default="1" w:styleId="23">
    <w:name w:val="Default Paragraph Font"/>
    <w:unhideWhenUsed/>
    <w:qFormat/>
    <w:uiPriority w:val="0"/>
  </w:style>
  <w:style w:type="table" w:default="1" w:styleId="21">
    <w:name w:val="Normal Table"/>
    <w:qFormat/>
    <w:uiPriority w:val="0"/>
    <w:tblPr>
      <w:tblCellMar>
        <w:top w:w="0" w:type="dxa"/>
        <w:left w:w="108" w:type="dxa"/>
        <w:bottom w:w="0" w:type="dxa"/>
        <w:right w:w="108" w:type="dxa"/>
      </w:tblCellMar>
    </w:tblPr>
  </w:style>
  <w:style w:type="paragraph" w:styleId="3">
    <w:name w:val="Body Text"/>
    <w:basedOn w:val="1"/>
    <w:link w:val="25"/>
    <w:qFormat/>
    <w:uiPriority w:val="0"/>
    <w:pPr>
      <w:spacing w:before="180" w:after="180"/>
      <w:ind w:firstLine="560" w:firstLineChars="200"/>
      <w:jc w:val="both"/>
    </w:pPr>
  </w:style>
  <w:style w:type="paragraph" w:styleId="12">
    <w:name w:val="caption"/>
    <w:basedOn w:val="1"/>
    <w:next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微软雅黑" w:hAnsi="微软雅黑" w:eastAsia="微软雅黑" w:cstheme="minorBidi"/>
      <w:sz w:val="24"/>
      <w:szCs w:val="24"/>
      <w:lang w:val="en-US" w:eastAsia="en-US" w:bidi="ar-SA"/>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Subtitle"/>
    <w:basedOn w:val="18"/>
    <w:next w:val="3"/>
    <w:qFormat/>
    <w:uiPriority w:val="0"/>
    <w:pPr>
      <w:keepNext/>
      <w:keepLines/>
      <w:spacing w:before="240" w:after="240"/>
      <w:jc w:val="center"/>
    </w:pPr>
    <w:rPr>
      <w:rFonts w:ascii="微软雅黑" w:hAnsi="微软雅黑"/>
      <w:sz w:val="30"/>
      <w:szCs w:val="30"/>
    </w:rPr>
  </w:style>
  <w:style w:type="paragraph" w:styleId="18">
    <w:name w:val="Title"/>
    <w:basedOn w:val="1"/>
    <w:next w:val="3"/>
    <w:qFormat/>
    <w:uiPriority w:val="0"/>
    <w:pPr>
      <w:keepNext/>
      <w:keepLines/>
      <w:spacing w:before="480" w:after="240"/>
      <w:jc w:val="center"/>
    </w:pPr>
    <w:rPr>
      <w:rFonts w:ascii="微软雅黑" w:hAnsi="微软雅黑" w:eastAsia="微软雅黑" w:cstheme="majorBidi"/>
      <w:b/>
      <w:bCs/>
      <w:color w:val="auto"/>
      <w:sz w:val="36"/>
      <w:szCs w:val="36"/>
    </w:rPr>
  </w:style>
  <w:style w:type="paragraph" w:styleId="19">
    <w:name w:val="footnote text"/>
    <w:basedOn w:val="1"/>
    <w:unhideWhenUsed/>
    <w:qFormat/>
    <w:uiPriority w:val="9"/>
    <w:rPr>
      <w:rFonts w:ascii="微软雅黑" w:hAnsi="微软雅黑" w:eastAsia="微软雅黑"/>
    </w:rPr>
  </w:style>
  <w:style w:type="paragraph" w:styleId="20">
    <w:name w:val="Normal (Web)"/>
    <w:basedOn w:val="1"/>
    <w:next w:val="1"/>
    <w:qFormat/>
    <w:uiPriority w:val="0"/>
    <w:pPr>
      <w:spacing w:before="-2147483648" w:beforeAutospacing="1" w:after="-2147483648" w:afterAutospacing="1"/>
    </w:pPr>
    <w:rPr>
      <w:rFonts w:cs="微软雅黑"/>
      <w:lang w:eastAsia="zh-CN" w:bidi="ar"/>
    </w:rPr>
  </w:style>
  <w:style w:type="table" w:styleId="22">
    <w:name w:val="Table Grid"/>
    <w:basedOn w:val="2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5"/>
    <w:qFormat/>
    <w:uiPriority w:val="0"/>
    <w:rPr>
      <w:color w:val="0070C0"/>
      <w:u w:val="single"/>
    </w:rPr>
  </w:style>
  <w:style w:type="character" w:customStyle="1" w:styleId="25">
    <w:name w:val="Body Text Char"/>
    <w:basedOn w:val="23"/>
    <w:link w:val="3"/>
    <w:qFormat/>
    <w:uiPriority w:val="0"/>
    <w:rPr>
      <w:rFonts w:ascii="微软雅黑" w:hAnsi="微软雅黑" w:eastAsia="微软雅黑"/>
    </w:rPr>
  </w:style>
  <w:style w:type="character" w:styleId="26">
    <w:name w:val="footnote reference"/>
    <w:basedOn w:val="25"/>
    <w:qFormat/>
    <w:uiPriority w:val="0"/>
    <w:rPr>
      <w:vertAlign w:val="superscript"/>
    </w:rPr>
  </w:style>
  <w:style w:type="paragraph" w:customStyle="1" w:styleId="27">
    <w:name w:val="First Paragraph"/>
    <w:basedOn w:val="3"/>
    <w:next w:val="3"/>
    <w:qFormat/>
    <w:uiPriority w:val="0"/>
    <w:pPr>
      <w:ind w:firstLine="720" w:firstLineChars="200"/>
      <w:jc w:val="both"/>
    </w:pPr>
  </w:style>
  <w:style w:type="paragraph" w:customStyle="1" w:styleId="28">
    <w:name w:val="Compact"/>
    <w:basedOn w:val="3"/>
    <w:qFormat/>
    <w:uiPriority w:val="0"/>
    <w:pPr>
      <w:spacing w:before="36" w:after="36"/>
    </w:pPr>
  </w:style>
  <w:style w:type="paragraph" w:customStyle="1" w:styleId="29">
    <w:name w:val="Author"/>
    <w:next w:val="3"/>
    <w:qFormat/>
    <w:uiPriority w:val="0"/>
    <w:pPr>
      <w:keepNext/>
      <w:keepLines/>
      <w:spacing w:after="200"/>
      <w:jc w:val="center"/>
    </w:pPr>
    <w:rPr>
      <w:rFonts w:ascii="微软雅黑" w:hAnsi="微软雅黑" w:eastAsia="微软雅黑" w:cstheme="minorBidi"/>
      <w:sz w:val="24"/>
      <w:szCs w:val="24"/>
      <w:lang w:val="en-US" w:eastAsia="en-US" w:bidi="ar-SA"/>
    </w:rPr>
  </w:style>
  <w:style w:type="paragraph" w:customStyle="1" w:styleId="30">
    <w:name w:val="Abstract Title"/>
    <w:basedOn w:val="1"/>
    <w:next w:val="31"/>
    <w:qFormat/>
    <w:uiPriority w:val="0"/>
    <w:pPr>
      <w:keepNext/>
      <w:keepLines/>
      <w:spacing w:before="300" w:after="0"/>
      <w:jc w:val="center"/>
    </w:pPr>
    <w:rPr>
      <w:b/>
      <w:color w:val="345A8A"/>
      <w:sz w:val="20"/>
      <w:szCs w:val="20"/>
    </w:rPr>
  </w:style>
  <w:style w:type="paragraph" w:customStyle="1" w:styleId="31">
    <w:name w:val="Abstract"/>
    <w:basedOn w:val="1"/>
    <w:next w:val="3"/>
    <w:qFormat/>
    <w:uiPriority w:val="0"/>
    <w:pPr>
      <w:keepNext/>
      <w:keepLines/>
      <w:spacing w:before="100" w:after="300"/>
    </w:pPr>
    <w:rPr>
      <w:rFonts w:ascii="微软雅黑" w:hAnsi="微软雅黑" w:eastAsia="微软雅黑"/>
      <w:sz w:val="20"/>
      <w:szCs w:val="20"/>
    </w:rPr>
  </w:style>
  <w:style w:type="paragraph" w:customStyle="1" w:styleId="32">
    <w:name w:val="Bibliography"/>
    <w:basedOn w:val="1"/>
    <w:qFormat/>
    <w:uiPriority w:val="0"/>
  </w:style>
  <w:style w:type="paragraph" w:customStyle="1" w:styleId="33">
    <w:name w:val="Footnote Block Text"/>
    <w:unhideWhenUsed/>
    <w:qFormat/>
    <w:uiPriority w:val="9"/>
    <w:pPr>
      <w:spacing w:before="100" w:after="100"/>
      <w:ind w:left="480" w:right="480" w:firstLine="0"/>
    </w:pPr>
    <w:rPr>
      <w:rFonts w:asciiTheme="minorHAnsi" w:hAnsiTheme="minorHAnsi" w:eastAsiaTheme="minorHAnsi" w:cstheme="minorBidi"/>
      <w:sz w:val="24"/>
      <w:szCs w:val="24"/>
      <w:lang w:val="en-US" w:eastAsia="en-US" w:bidi="ar-SA"/>
    </w:rPr>
  </w:style>
  <w:style w:type="table" w:customStyle="1" w:styleId="34">
    <w:name w:val="Table"/>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5">
    <w:name w:val="Definition Term"/>
    <w:basedOn w:val="1"/>
    <w:next w:val="36"/>
    <w:qFormat/>
    <w:uiPriority w:val="0"/>
    <w:pPr>
      <w:keepNext/>
      <w:keepLines/>
      <w:spacing w:after="0"/>
    </w:pPr>
    <w:rPr>
      <w:rFonts w:ascii="微软雅黑" w:hAnsi="微软雅黑" w:eastAsia="微软雅黑"/>
      <w:b/>
    </w:rPr>
  </w:style>
  <w:style w:type="paragraph" w:customStyle="1" w:styleId="36">
    <w:name w:val="Definition"/>
    <w:basedOn w:val="1"/>
    <w:qFormat/>
    <w:uiPriority w:val="0"/>
    <w:rPr>
      <w:rFonts w:ascii="微软雅黑" w:hAnsi="微软雅黑" w:eastAsia="微软雅黑"/>
    </w:rPr>
  </w:style>
  <w:style w:type="paragraph" w:customStyle="1" w:styleId="37">
    <w:name w:val="Table Caption"/>
    <w:basedOn w:val="12"/>
    <w:qFormat/>
    <w:uiPriority w:val="0"/>
    <w:pPr>
      <w:keepNext/>
    </w:pPr>
    <w:rPr>
      <w:rFonts w:ascii="微软雅黑" w:hAnsi="微软雅黑" w:eastAsia="微软雅黑"/>
    </w:rPr>
  </w:style>
  <w:style w:type="paragraph" w:customStyle="1" w:styleId="38">
    <w:name w:val="Image Caption"/>
    <w:basedOn w:val="12"/>
    <w:qFormat/>
    <w:uiPriority w:val="0"/>
    <w:rPr>
      <w:rFonts w:ascii="微软雅黑" w:hAnsi="微软雅黑" w:eastAsia="微软雅黑"/>
    </w:rPr>
  </w:style>
  <w:style w:type="paragraph" w:customStyle="1" w:styleId="39">
    <w:name w:val="Figure"/>
    <w:basedOn w:val="1"/>
    <w:qFormat/>
    <w:uiPriority w:val="0"/>
  </w:style>
  <w:style w:type="paragraph" w:customStyle="1" w:styleId="40">
    <w:name w:val="Captioned Figure"/>
    <w:basedOn w:val="39"/>
    <w:qFormat/>
    <w:uiPriority w:val="0"/>
    <w:pPr>
      <w:keepNext/>
    </w:pPr>
  </w:style>
  <w:style w:type="character" w:customStyle="1" w:styleId="41">
    <w:name w:val="Verbatim Char"/>
    <w:basedOn w:val="25"/>
    <w:qFormat/>
    <w:uiPriority w:val="0"/>
    <w:rPr>
      <w:rFonts w:ascii="Consolas" w:hAnsi="Consolas"/>
      <w:sz w:val="22"/>
    </w:rPr>
  </w:style>
  <w:style w:type="character" w:customStyle="1" w:styleId="42">
    <w:name w:val="Section Number"/>
    <w:basedOn w:val="25"/>
    <w:qFormat/>
    <w:uiPriority w:val="0"/>
  </w:style>
  <w:style w:type="paragraph" w:customStyle="1" w:styleId="43">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76092" w:themeColor="accent1" w:themeShade="BF"/>
    </w:rPr>
  </w:style>
  <w:style w:type="paragraph" w:customStyle="1" w:styleId="44">
    <w:name w:val="Source Code"/>
    <w:qFormat/>
    <w:uiPriority w:val="0"/>
    <w:pPr>
      <w:wordWrap w:val="0"/>
    </w:pPr>
    <w:rPr>
      <w:rFonts w:asciiTheme="minorHAnsi" w:hAnsiTheme="minorHAnsi" w:eastAsiaTheme="minorHAnsi" w:cstheme="minorBidi"/>
    </w:rPr>
  </w:style>
  <w:style w:type="character" w:customStyle="1" w:styleId="45">
    <w:name w:val="KeywordTok"/>
    <w:qFormat/>
    <w:uiPriority w:val="0"/>
    <w:rPr>
      <w:b/>
      <w:color w:val="007020"/>
    </w:rPr>
  </w:style>
  <w:style w:type="character" w:customStyle="1" w:styleId="46">
    <w:name w:val="DataTypeTok"/>
    <w:qFormat/>
    <w:uiPriority w:val="0"/>
    <w:rPr>
      <w:color w:val="902000"/>
    </w:rPr>
  </w:style>
  <w:style w:type="character" w:customStyle="1" w:styleId="47">
    <w:name w:val="DecValTok"/>
    <w:qFormat/>
    <w:uiPriority w:val="0"/>
    <w:rPr>
      <w:color w:val="40A070"/>
    </w:rPr>
  </w:style>
  <w:style w:type="character" w:customStyle="1" w:styleId="48">
    <w:name w:val="BaseNTok"/>
    <w:qFormat/>
    <w:uiPriority w:val="0"/>
    <w:rPr>
      <w:color w:val="40A070"/>
    </w:rPr>
  </w:style>
  <w:style w:type="character" w:customStyle="1" w:styleId="49">
    <w:name w:val="FloatTok"/>
    <w:qFormat/>
    <w:uiPriority w:val="0"/>
    <w:rPr>
      <w:color w:val="40A070"/>
    </w:rPr>
  </w:style>
  <w:style w:type="character" w:customStyle="1" w:styleId="50">
    <w:name w:val="ConstantTok"/>
    <w:qFormat/>
    <w:uiPriority w:val="0"/>
    <w:rPr>
      <w:color w:val="880000"/>
    </w:rPr>
  </w:style>
  <w:style w:type="character" w:customStyle="1" w:styleId="51">
    <w:name w:val="CharTok"/>
    <w:qFormat/>
    <w:uiPriority w:val="0"/>
    <w:rPr>
      <w:color w:val="4070A0"/>
    </w:rPr>
  </w:style>
  <w:style w:type="character" w:customStyle="1" w:styleId="52">
    <w:name w:val="SpecialCharTok"/>
    <w:qFormat/>
    <w:uiPriority w:val="0"/>
    <w:rPr>
      <w:color w:val="4070A0"/>
    </w:rPr>
  </w:style>
  <w:style w:type="character" w:customStyle="1" w:styleId="53">
    <w:name w:val="StringTok"/>
    <w:qFormat/>
    <w:uiPriority w:val="0"/>
    <w:rPr>
      <w:color w:val="4070A0"/>
    </w:rPr>
  </w:style>
  <w:style w:type="character" w:customStyle="1" w:styleId="54">
    <w:name w:val="VerbatimStringTok"/>
    <w:qFormat/>
    <w:uiPriority w:val="0"/>
    <w:rPr>
      <w:color w:val="4070A0"/>
    </w:rPr>
  </w:style>
  <w:style w:type="character" w:customStyle="1" w:styleId="55">
    <w:name w:val="SpecialStringTok"/>
    <w:qFormat/>
    <w:uiPriority w:val="0"/>
    <w:rPr>
      <w:color w:val="BB6688"/>
    </w:rPr>
  </w:style>
  <w:style w:type="character" w:customStyle="1" w:styleId="56">
    <w:name w:val="ImportTok"/>
    <w:qFormat/>
    <w:uiPriority w:val="0"/>
    <w:rPr>
      <w:b/>
      <w:color w:val="008000"/>
    </w:rPr>
  </w:style>
  <w:style w:type="character" w:customStyle="1" w:styleId="57">
    <w:name w:val="CommentTok"/>
    <w:qFormat/>
    <w:uiPriority w:val="0"/>
    <w:rPr>
      <w:i/>
      <w:color w:val="60A0B0"/>
    </w:rPr>
  </w:style>
  <w:style w:type="character" w:customStyle="1" w:styleId="58">
    <w:name w:val="DocumentationTok"/>
    <w:qFormat/>
    <w:uiPriority w:val="0"/>
    <w:rPr>
      <w:i/>
      <w:color w:val="BA2121"/>
    </w:rPr>
  </w:style>
  <w:style w:type="character" w:customStyle="1" w:styleId="59">
    <w:name w:val="AnnotationTok"/>
    <w:qFormat/>
    <w:uiPriority w:val="0"/>
    <w:rPr>
      <w:b/>
      <w:i/>
      <w:color w:val="60A0B0"/>
    </w:rPr>
  </w:style>
  <w:style w:type="character" w:customStyle="1" w:styleId="60">
    <w:name w:val="CommentVarTok"/>
    <w:qFormat/>
    <w:uiPriority w:val="0"/>
    <w:rPr>
      <w:b/>
      <w:i/>
      <w:color w:val="60A0B0"/>
    </w:rPr>
  </w:style>
  <w:style w:type="character" w:customStyle="1" w:styleId="61">
    <w:name w:val="OtherTok"/>
    <w:qFormat/>
    <w:uiPriority w:val="0"/>
    <w:rPr>
      <w:color w:val="007020"/>
    </w:rPr>
  </w:style>
  <w:style w:type="character" w:customStyle="1" w:styleId="62">
    <w:name w:val="FunctionTok"/>
    <w:qFormat/>
    <w:uiPriority w:val="0"/>
    <w:rPr>
      <w:color w:val="06287E"/>
    </w:rPr>
  </w:style>
  <w:style w:type="character" w:customStyle="1" w:styleId="63">
    <w:name w:val="VariableTok"/>
    <w:qFormat/>
    <w:uiPriority w:val="0"/>
    <w:rPr>
      <w:color w:val="19177C"/>
    </w:rPr>
  </w:style>
  <w:style w:type="character" w:customStyle="1" w:styleId="64">
    <w:name w:val="ControlFlowTok"/>
    <w:qFormat/>
    <w:uiPriority w:val="0"/>
    <w:rPr>
      <w:b/>
      <w:color w:val="007020"/>
    </w:rPr>
  </w:style>
  <w:style w:type="character" w:customStyle="1" w:styleId="65">
    <w:name w:val="OperatorTok"/>
    <w:qFormat/>
    <w:uiPriority w:val="0"/>
    <w:rPr>
      <w:color w:val="666666"/>
    </w:rPr>
  </w:style>
  <w:style w:type="character" w:customStyle="1" w:styleId="66">
    <w:name w:val="BuiltInTok"/>
    <w:qFormat/>
    <w:uiPriority w:val="0"/>
    <w:rPr>
      <w:color w:val="008000"/>
    </w:rPr>
  </w:style>
  <w:style w:type="character" w:customStyle="1" w:styleId="67">
    <w:name w:val="ExtensionTok"/>
    <w:qFormat/>
    <w:uiPriority w:val="0"/>
  </w:style>
  <w:style w:type="character" w:customStyle="1" w:styleId="68">
    <w:name w:val="PreprocessorTok"/>
    <w:qFormat/>
    <w:uiPriority w:val="0"/>
    <w:rPr>
      <w:color w:val="BC7A00"/>
    </w:rPr>
  </w:style>
  <w:style w:type="character" w:customStyle="1" w:styleId="69">
    <w:name w:val="AttributeTok"/>
    <w:qFormat/>
    <w:uiPriority w:val="0"/>
    <w:rPr>
      <w:color w:val="7D9029"/>
    </w:rPr>
  </w:style>
  <w:style w:type="character" w:customStyle="1" w:styleId="70">
    <w:name w:val="RegionMarkerTok"/>
    <w:qFormat/>
    <w:uiPriority w:val="0"/>
  </w:style>
  <w:style w:type="character" w:customStyle="1" w:styleId="71">
    <w:name w:val="InformationTok"/>
    <w:qFormat/>
    <w:uiPriority w:val="0"/>
    <w:rPr>
      <w:b/>
      <w:i/>
      <w:color w:val="60A0B0"/>
    </w:rPr>
  </w:style>
  <w:style w:type="character" w:customStyle="1" w:styleId="72">
    <w:name w:val="WarningTok"/>
    <w:qFormat/>
    <w:uiPriority w:val="0"/>
    <w:rPr>
      <w:b/>
      <w:i/>
      <w:color w:val="60A0B0"/>
    </w:rPr>
  </w:style>
  <w:style w:type="character" w:customStyle="1" w:styleId="73">
    <w:name w:val="AlertTok"/>
    <w:qFormat/>
    <w:uiPriority w:val="0"/>
    <w:rPr>
      <w:b/>
      <w:color w:val="FF0000"/>
    </w:rPr>
  </w:style>
  <w:style w:type="character" w:customStyle="1" w:styleId="74">
    <w:name w:val="ErrorTok"/>
    <w:qFormat/>
    <w:uiPriority w:val="0"/>
    <w:rPr>
      <w:b/>
      <w:color w:val="FF0000"/>
    </w:rPr>
  </w:style>
  <w:style w:type="character" w:customStyle="1" w:styleId="75">
    <w:name w:val="NormalTok"/>
    <w:qFormat/>
    <w:uiPriority w:val="0"/>
  </w:style>
  <w:style w:type="paragraph" w:customStyle="1" w:styleId="76">
    <w:name w:val="标书正文1"/>
    <w:basedOn w:val="1"/>
    <w:unhideWhenUsed/>
    <w:qFormat/>
    <w:uiPriority w:val="0"/>
    <w:pPr>
      <w:spacing w:line="520" w:lineRule="exact"/>
      <w:ind w:firstLine="640" w:firstLineChars="200"/>
    </w:pPr>
  </w:style>
  <w:style w:type="character" w:customStyle="1" w:styleId="77">
    <w:name w:val="标题 2 Char"/>
    <w:link w:val="4"/>
    <w:qFormat/>
    <w:uiPriority w:val="9"/>
    <w:rPr>
      <w:rFonts w:ascii="Times New Roman" w:hAnsi="Times New Roman" w:eastAsia="宋体" w:cstheme="majorBidi"/>
      <w:b/>
      <w:bCs/>
      <w:color w:val="auto"/>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2521</Words>
  <Characters>2772</Characters>
  <Lines>1</Lines>
  <Paragraphs>1</Paragraphs>
  <TotalTime>35</TotalTime>
  <ScaleCrop>false</ScaleCrop>
  <LinksUpToDate>false</LinksUpToDate>
  <CharactersWithSpaces>2854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2024-11-15T15:05:00Z</dcterms:created>
  <dc:creator>bowen</dc:creator>
  <cp:lastModifiedBy>Administrator</cp:lastModifiedBy>
  <cp:lastPrinted>2026-09-28T04:18:00Z</cp:lastPrinted>
  <dcterms:modified xsi:type="dcterms:W3CDTF">2026-09-29T06:54:44Z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1073761C035D46C29C22E4DEB9D72611_13</vt:lpwstr>
  </property>
  <property fmtid="{D5CDD505-2E9C-101B-9397-08002B2CF9AE}" pid="4" name="KSOTemplateDocerSaveRecord">
    <vt:lpwstr>eyJoZGlkIjoiMjc0ZjNhYjRhN2MwMWUzZjhmZGNmZTZkOTE3MWMyMGYiLCJ1c2VySWQiOiI3MjEzNjYxNjMifQ==</vt:lpwstr>
  </property>
</Properties>
</file>